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960"/>
        </w:tabs>
        <w:spacing w:line="288" w:lineRule="auto"/>
        <w:jc w:val="center"/>
        <w:rPr>
          <w:b/>
          <w:bCs/>
          <w:sz w:val="112"/>
          <w:szCs w:val="112"/>
        </w:rPr>
      </w:pPr>
    </w:p>
    <w:p>
      <w:pPr>
        <w:tabs>
          <w:tab w:val="left" w:pos="960"/>
        </w:tabs>
        <w:spacing w:line="288" w:lineRule="auto"/>
        <w:jc w:val="center"/>
        <w:rPr>
          <w:b/>
          <w:bCs/>
          <w:sz w:val="112"/>
          <w:szCs w:val="112"/>
        </w:rPr>
      </w:pPr>
    </w:p>
    <w:p>
      <w:pPr>
        <w:tabs>
          <w:tab w:val="left" w:pos="960"/>
        </w:tabs>
        <w:spacing w:line="288" w:lineRule="auto"/>
        <w:jc w:val="center"/>
        <w:rPr>
          <w:b/>
          <w:bCs/>
          <w:sz w:val="112"/>
          <w:szCs w:val="112"/>
        </w:rPr>
      </w:pPr>
      <w:r>
        <w:rPr>
          <w:rFonts w:hint="eastAsia"/>
          <w:b/>
          <w:bCs/>
          <w:sz w:val="112"/>
          <w:szCs w:val="112"/>
        </w:rPr>
        <w:t>竞争性谈判文件</w:t>
      </w:r>
    </w:p>
    <w:p>
      <w:pPr>
        <w:spacing w:line="288" w:lineRule="auto"/>
        <w:rPr>
          <w:sz w:val="44"/>
          <w:szCs w:val="44"/>
        </w:rPr>
      </w:pPr>
    </w:p>
    <w:p>
      <w:pPr>
        <w:spacing w:line="288" w:lineRule="auto"/>
        <w:rPr>
          <w:sz w:val="44"/>
          <w:szCs w:val="44"/>
        </w:rPr>
      </w:pPr>
    </w:p>
    <w:p>
      <w:pPr>
        <w:spacing w:line="288" w:lineRule="auto"/>
        <w:rPr>
          <w:sz w:val="44"/>
          <w:szCs w:val="44"/>
        </w:rPr>
      </w:pPr>
    </w:p>
    <w:p>
      <w:pPr>
        <w:spacing w:line="288" w:lineRule="auto"/>
        <w:ind w:firstLine="1120" w:firstLineChars="350"/>
        <w:rPr>
          <w:rFonts w:hint="eastAsia" w:eastAsia="宋体"/>
          <w:sz w:val="32"/>
          <w:szCs w:val="32"/>
          <w:lang w:eastAsia="zh-CN"/>
        </w:rPr>
      </w:pPr>
      <w:r>
        <w:rPr>
          <w:rFonts w:hint="eastAsia"/>
          <w:sz w:val="32"/>
          <w:szCs w:val="32"/>
        </w:rPr>
        <w:t>项目编号：</w:t>
      </w:r>
      <w:r>
        <w:rPr>
          <w:rFonts w:hint="eastAsia"/>
          <w:sz w:val="32"/>
          <w:szCs w:val="32"/>
          <w:lang w:eastAsia="zh-CN"/>
        </w:rPr>
        <w:t>徐生采（2023）xzsw1102</w:t>
      </w:r>
    </w:p>
    <w:p>
      <w:pPr>
        <w:spacing w:line="288" w:lineRule="auto"/>
        <w:ind w:left="2880" w:hanging="2880" w:hangingChars="900"/>
        <w:rPr>
          <w:rFonts w:hint="eastAsia" w:eastAsia="宋体"/>
          <w:sz w:val="32"/>
          <w:szCs w:val="32"/>
          <w:lang w:eastAsia="zh-CN"/>
        </w:rPr>
      </w:pPr>
      <w:r>
        <w:rPr>
          <w:rFonts w:hint="eastAsia"/>
          <w:sz w:val="32"/>
          <w:szCs w:val="32"/>
        </w:rPr>
        <w:t xml:space="preserve">       项目名称：</w:t>
      </w:r>
      <w:r>
        <w:rPr>
          <w:rFonts w:hint="eastAsia"/>
          <w:sz w:val="32"/>
          <w:lang w:eastAsia="zh-CN"/>
        </w:rPr>
        <w:t>学生宿舍用床改造项目</w:t>
      </w:r>
    </w:p>
    <w:p>
      <w:pPr>
        <w:spacing w:line="288" w:lineRule="auto"/>
        <w:rPr>
          <w:sz w:val="32"/>
          <w:szCs w:val="32"/>
        </w:rPr>
      </w:pPr>
      <w:r>
        <w:rPr>
          <w:rFonts w:hint="eastAsia"/>
          <w:sz w:val="32"/>
          <w:szCs w:val="32"/>
        </w:rPr>
        <w:t xml:space="preserve">       采 购 人：</w:t>
      </w:r>
      <w:r>
        <w:rPr>
          <w:rFonts w:hint="eastAsia"/>
          <w:sz w:val="32"/>
        </w:rPr>
        <w:t>徐州生物工程职业技术学院</w:t>
      </w:r>
    </w:p>
    <w:p>
      <w:pPr>
        <w:spacing w:line="288" w:lineRule="auto"/>
        <w:rPr>
          <w:sz w:val="36"/>
          <w:szCs w:val="36"/>
        </w:rPr>
      </w:pPr>
      <w:r>
        <w:rPr>
          <w:sz w:val="36"/>
          <w:szCs w:val="36"/>
        </w:rPr>
        <w:t xml:space="preserve">          </w:t>
      </w:r>
    </w:p>
    <w:p>
      <w:pPr>
        <w:spacing w:line="288" w:lineRule="auto"/>
        <w:rPr>
          <w:sz w:val="36"/>
          <w:szCs w:val="36"/>
        </w:rPr>
      </w:pPr>
    </w:p>
    <w:p>
      <w:pPr>
        <w:spacing w:line="288" w:lineRule="auto"/>
        <w:rPr>
          <w:sz w:val="36"/>
          <w:szCs w:val="36"/>
        </w:rPr>
      </w:pPr>
    </w:p>
    <w:p>
      <w:pPr>
        <w:spacing w:line="288" w:lineRule="auto"/>
        <w:rPr>
          <w:sz w:val="36"/>
          <w:szCs w:val="36"/>
        </w:rPr>
      </w:pPr>
    </w:p>
    <w:p>
      <w:pPr>
        <w:spacing w:line="288" w:lineRule="auto"/>
        <w:rPr>
          <w:sz w:val="36"/>
          <w:szCs w:val="36"/>
        </w:rPr>
      </w:pPr>
    </w:p>
    <w:p>
      <w:pPr>
        <w:spacing w:line="288" w:lineRule="auto"/>
        <w:rPr>
          <w:sz w:val="36"/>
          <w:szCs w:val="36"/>
        </w:rPr>
      </w:pPr>
    </w:p>
    <w:p>
      <w:pPr>
        <w:autoSpaceDE w:val="0"/>
        <w:autoSpaceDN w:val="0"/>
        <w:spacing w:line="288" w:lineRule="auto"/>
        <w:jc w:val="center"/>
        <w:rPr>
          <w:bCs/>
          <w:sz w:val="32"/>
          <w:szCs w:val="32"/>
        </w:rPr>
      </w:pPr>
      <w:r>
        <w:rPr>
          <w:bCs/>
          <w:sz w:val="32"/>
          <w:szCs w:val="32"/>
        </w:rPr>
        <w:t>202</w:t>
      </w:r>
      <w:r>
        <w:rPr>
          <w:rFonts w:hint="eastAsia"/>
          <w:bCs/>
          <w:sz w:val="32"/>
          <w:szCs w:val="32"/>
          <w:lang w:val="en-US" w:eastAsia="zh-CN"/>
        </w:rPr>
        <w:t>3</w:t>
      </w:r>
      <w:r>
        <w:rPr>
          <w:rFonts w:hint="eastAsia"/>
          <w:bCs/>
          <w:sz w:val="32"/>
          <w:szCs w:val="32"/>
        </w:rPr>
        <w:t>年</w:t>
      </w:r>
      <w:r>
        <w:rPr>
          <w:rFonts w:hint="eastAsia"/>
          <w:bCs/>
          <w:sz w:val="32"/>
          <w:szCs w:val="32"/>
          <w:lang w:val="en-US" w:eastAsia="zh-CN"/>
        </w:rPr>
        <w:t>11</w:t>
      </w:r>
      <w:r>
        <w:rPr>
          <w:rFonts w:hint="eastAsia"/>
          <w:bCs/>
          <w:sz w:val="32"/>
          <w:szCs w:val="32"/>
        </w:rPr>
        <w:t>月</w:t>
      </w:r>
    </w:p>
    <w:p>
      <w:pPr>
        <w:spacing w:line="288" w:lineRule="auto"/>
      </w:pPr>
    </w:p>
    <w:p>
      <w:pPr>
        <w:pStyle w:val="8"/>
      </w:pPr>
    </w:p>
    <w:p>
      <w:pPr>
        <w:spacing w:line="288" w:lineRule="auto"/>
        <w:jc w:val="center"/>
        <w:outlineLvl w:val="0"/>
        <w:rPr>
          <w:rFonts w:cs="仿宋_GB2312"/>
          <w:sz w:val="36"/>
        </w:rPr>
      </w:pPr>
      <w:r>
        <w:rPr>
          <w:rFonts w:hint="eastAsia" w:cs="仿宋_GB2312"/>
          <w:b/>
          <w:bCs/>
          <w:sz w:val="40"/>
          <w:szCs w:val="28"/>
        </w:rPr>
        <w:t>谈判文件</w:t>
      </w:r>
    </w:p>
    <w:p>
      <w:pPr>
        <w:spacing w:line="288" w:lineRule="auto"/>
        <w:jc w:val="center"/>
        <w:rPr>
          <w:rFonts w:hint="eastAsia" w:eastAsia="宋体" w:cs="仿宋_GB2312"/>
          <w:bCs/>
          <w:lang w:eastAsia="zh-CN"/>
        </w:rPr>
      </w:pPr>
      <w:r>
        <w:rPr>
          <w:rFonts w:hint="eastAsia" w:cs="仿宋_GB2312"/>
          <w:bCs/>
        </w:rPr>
        <w:t>项目编号：</w:t>
      </w:r>
      <w:r>
        <w:rPr>
          <w:rFonts w:hint="eastAsia" w:cs="仿宋_GB2312"/>
          <w:bCs/>
          <w:lang w:eastAsia="zh-CN"/>
        </w:rPr>
        <w:t>徐生采（2023）xzsw1102</w:t>
      </w:r>
    </w:p>
    <w:p>
      <w:pPr>
        <w:tabs>
          <w:tab w:val="left" w:pos="3240"/>
        </w:tabs>
        <w:spacing w:line="288" w:lineRule="auto"/>
        <w:rPr>
          <w:rFonts w:cs="仿宋_GB2312"/>
        </w:rPr>
      </w:pPr>
      <w:r>
        <w:rPr>
          <w:rFonts w:hint="eastAsia" w:cs="仿宋_GB2312"/>
          <w:u w:val="single"/>
        </w:rPr>
        <w:t xml:space="preserve">                     </w:t>
      </w:r>
      <w:r>
        <w:rPr>
          <w:rFonts w:hint="eastAsia"/>
        </w:rPr>
        <w:t>（供应商）</w:t>
      </w:r>
      <w:r>
        <w:rPr>
          <w:rFonts w:hint="eastAsia" w:cs="仿宋_GB2312"/>
        </w:rPr>
        <w:t>：</w:t>
      </w:r>
    </w:p>
    <w:p>
      <w:pPr>
        <w:spacing w:line="288" w:lineRule="auto"/>
        <w:ind w:firstLine="480" w:firstLineChars="200"/>
        <w:rPr>
          <w:rFonts w:cs="仿宋_GB2312"/>
        </w:rPr>
      </w:pPr>
      <w:r>
        <w:rPr>
          <w:rFonts w:hint="eastAsia" w:cs="仿宋_GB2312"/>
        </w:rPr>
        <w:t>按照《中华人民共和国政府采购法》、《中华人民共和国政府采购法实施条例》及《政府采购非招标采购方式管理办法》的规定,徐州生物工程职业技术学院对</w:t>
      </w:r>
      <w:r>
        <w:rPr>
          <w:rFonts w:hint="eastAsia" w:cs="仿宋_GB2312"/>
          <w:lang w:eastAsia="zh-CN"/>
        </w:rPr>
        <w:t>学生宿舍用床改造项目</w:t>
      </w:r>
      <w:r>
        <w:rPr>
          <w:rFonts w:hint="eastAsia" w:cs="仿宋_GB2312"/>
        </w:rPr>
        <w:t>采取竞争性谈判采购方式进行采购。如贵单位有意与本公司合作，请按以下要求参加谈判。</w:t>
      </w:r>
    </w:p>
    <w:p>
      <w:pPr>
        <w:spacing w:line="288" w:lineRule="auto"/>
        <w:outlineLvl w:val="2"/>
        <w:rPr>
          <w:rFonts w:cs="仿宋_GB2312"/>
          <w:szCs w:val="22"/>
        </w:rPr>
      </w:pPr>
      <w:r>
        <w:rPr>
          <w:rFonts w:hint="eastAsia" w:cs="仿宋_GB2312"/>
          <w:szCs w:val="22"/>
        </w:rPr>
        <w:t>一、项目名称及内容</w:t>
      </w:r>
    </w:p>
    <w:p>
      <w:pPr>
        <w:spacing w:line="288" w:lineRule="auto"/>
        <w:ind w:firstLine="480" w:firstLineChars="200"/>
        <w:rPr>
          <w:rFonts w:hint="eastAsia" w:eastAsia="宋体" w:cs="仿宋_GB2312"/>
          <w:lang w:eastAsia="zh-CN"/>
        </w:rPr>
      </w:pPr>
      <w:r>
        <w:rPr>
          <w:rFonts w:hint="eastAsia" w:cs="仿宋_GB2312"/>
        </w:rPr>
        <w:t>1、项目名称：</w:t>
      </w:r>
      <w:r>
        <w:rPr>
          <w:rFonts w:hint="eastAsia"/>
          <w:lang w:eastAsia="zh-CN"/>
        </w:rPr>
        <w:t>学生宿舍用床改造项目</w:t>
      </w:r>
    </w:p>
    <w:p>
      <w:pPr>
        <w:spacing w:line="288" w:lineRule="auto"/>
        <w:ind w:firstLine="480" w:firstLineChars="200"/>
        <w:rPr>
          <w:rFonts w:hint="eastAsia" w:eastAsia="宋体" w:cs="仿宋_GB2312"/>
          <w:bCs/>
          <w:lang w:eastAsia="zh-CN"/>
        </w:rPr>
      </w:pPr>
      <w:r>
        <w:rPr>
          <w:rFonts w:hint="eastAsia" w:cs="仿宋_GB2312"/>
        </w:rPr>
        <w:t>2、项目编号：</w:t>
      </w:r>
      <w:r>
        <w:rPr>
          <w:rFonts w:hint="eastAsia" w:cs="仿宋_GB2312"/>
          <w:bCs/>
          <w:lang w:eastAsia="zh-CN"/>
        </w:rPr>
        <w:t>徐生采（2023）xzsw1102</w:t>
      </w:r>
    </w:p>
    <w:p>
      <w:pPr>
        <w:spacing w:line="288" w:lineRule="auto"/>
        <w:ind w:firstLine="480" w:firstLineChars="200"/>
        <w:rPr>
          <w:rFonts w:cs="仿宋_GB2312"/>
        </w:rPr>
      </w:pPr>
      <w:r>
        <w:rPr>
          <w:rFonts w:hint="eastAsia" w:cs="仿宋_GB2312"/>
        </w:rPr>
        <w:t>3、</w:t>
      </w:r>
      <w:r>
        <w:rPr>
          <w:rFonts w:hint="eastAsia" w:cs="仿宋_GB2312"/>
          <w:bCs/>
        </w:rPr>
        <w:t>项目预算金额：</w:t>
      </w:r>
      <w:r>
        <w:rPr>
          <w:rFonts w:hint="eastAsia" w:cs="仿宋_GB2312"/>
          <w:b/>
          <w:lang w:val="en-US" w:eastAsia="zh-CN"/>
        </w:rPr>
        <w:t>8.7</w:t>
      </w:r>
      <w:r>
        <w:rPr>
          <w:rFonts w:cs="仿宋_GB2312"/>
          <w:b/>
        </w:rPr>
        <w:t>万</w:t>
      </w:r>
      <w:r>
        <w:rPr>
          <w:rFonts w:hint="eastAsia" w:cs="仿宋_GB2312"/>
          <w:bCs/>
        </w:rPr>
        <w:t>元人民币</w:t>
      </w:r>
    </w:p>
    <w:p>
      <w:pPr>
        <w:spacing w:line="288" w:lineRule="auto"/>
        <w:ind w:firstLine="480" w:firstLineChars="200"/>
        <w:rPr>
          <w:rFonts w:cs="仿宋_GB2312"/>
        </w:rPr>
      </w:pPr>
      <w:r>
        <w:rPr>
          <w:rFonts w:hint="eastAsia" w:cs="仿宋_GB2312"/>
        </w:rPr>
        <w:t>4、内容： 见项目要求</w:t>
      </w:r>
      <w:r>
        <w:rPr>
          <w:rFonts w:hint="eastAsia" w:cs="仿宋_GB2312"/>
          <w:shd w:val="clear" w:color="auto" w:fill="FFFFFF"/>
        </w:rPr>
        <w:t>。</w:t>
      </w:r>
    </w:p>
    <w:p>
      <w:pPr>
        <w:spacing w:line="288" w:lineRule="auto"/>
        <w:ind w:firstLine="480" w:firstLineChars="200"/>
        <w:rPr>
          <w:rFonts w:cs="仿宋_GB2312"/>
          <w:shd w:val="clear" w:color="auto" w:fill="FFFFFF"/>
        </w:rPr>
      </w:pPr>
      <w:r>
        <w:rPr>
          <w:rFonts w:hint="eastAsia" w:cs="仿宋_GB2312"/>
          <w:shd w:val="clear" w:color="auto" w:fill="FFFFFF"/>
        </w:rPr>
        <w:t>5、谈判文件售价：</w:t>
      </w:r>
      <w:r>
        <w:rPr>
          <w:rFonts w:hint="eastAsia" w:cs="仿宋_GB2312"/>
          <w:shd w:val="clear" w:color="auto" w:fill="FFFFFF"/>
          <w:lang w:val="en-US" w:eastAsia="zh-CN"/>
        </w:rPr>
        <w:t>0元</w:t>
      </w:r>
      <w:r>
        <w:rPr>
          <w:rFonts w:hint="eastAsia" w:cs="仿宋_GB2312"/>
          <w:shd w:val="clear" w:color="auto" w:fill="FFFFFF"/>
        </w:rPr>
        <w:t>。</w:t>
      </w:r>
    </w:p>
    <w:p>
      <w:pPr>
        <w:pStyle w:val="9"/>
        <w:spacing w:line="288" w:lineRule="auto"/>
        <w:ind w:left="480"/>
      </w:pPr>
      <w:r>
        <w:rPr>
          <w:rFonts w:hint="eastAsia" w:cs="仿宋_GB2312"/>
          <w:shd w:val="clear" w:color="auto" w:fill="FFFFFF"/>
        </w:rPr>
        <w:t>6、供应商选取方式：通过公开发布公告方式接受不少于三家符合相应资格条件的供应商参与竞争性谈判采购活动。</w:t>
      </w:r>
    </w:p>
    <w:p>
      <w:pPr>
        <w:spacing w:line="288" w:lineRule="auto"/>
        <w:outlineLvl w:val="2"/>
        <w:rPr>
          <w:rFonts w:cs="仿宋_GB2312"/>
        </w:rPr>
      </w:pPr>
      <w:r>
        <w:rPr>
          <w:rFonts w:hint="eastAsia" w:cs="仿宋_GB2312"/>
        </w:rPr>
        <w:t>二、响应文件编制要求：</w:t>
      </w:r>
    </w:p>
    <w:p>
      <w:pPr>
        <w:spacing w:line="288" w:lineRule="auto"/>
        <w:ind w:firstLine="240" w:firstLineChars="100"/>
        <w:rPr>
          <w:rFonts w:cs="仿宋_GB2312"/>
        </w:rPr>
      </w:pPr>
      <w:r>
        <w:rPr>
          <w:rFonts w:hint="eastAsia" w:cs="仿宋_GB2312"/>
        </w:rPr>
        <w:t>（一）承诺书（格式见《谈判文件》附件）。</w:t>
      </w:r>
    </w:p>
    <w:p>
      <w:pPr>
        <w:spacing w:line="288" w:lineRule="auto"/>
        <w:ind w:right="-328" w:firstLine="240" w:firstLineChars="100"/>
        <w:rPr>
          <w:rFonts w:cs="仿宋_GB2312"/>
        </w:rPr>
      </w:pPr>
      <w:r>
        <w:rPr>
          <w:rFonts w:hint="eastAsia" w:cs="仿宋_GB2312"/>
        </w:rPr>
        <w:t>（二）按照《谈判报价表》要求填写最初报价（格式见《谈判文件》附件）。</w:t>
      </w:r>
    </w:p>
    <w:p>
      <w:pPr>
        <w:spacing w:line="288" w:lineRule="auto"/>
        <w:ind w:right="-328" w:firstLine="240" w:firstLineChars="100"/>
        <w:rPr>
          <w:rFonts w:cs="仿宋_GB2312"/>
        </w:rPr>
      </w:pPr>
      <w:r>
        <w:rPr>
          <w:rFonts w:hint="eastAsia" w:cs="仿宋_GB2312"/>
        </w:rPr>
        <w:t>（三）其他文件，包括：</w:t>
      </w:r>
    </w:p>
    <w:p>
      <w:pPr>
        <w:spacing w:line="288" w:lineRule="auto"/>
        <w:ind w:firstLine="480" w:firstLineChars="200"/>
        <w:rPr>
          <w:rFonts w:cs="仿宋_GB2312"/>
        </w:rPr>
      </w:pPr>
      <w:r>
        <w:rPr>
          <w:rFonts w:hint="eastAsia" w:cs="仿宋_GB2312"/>
        </w:rPr>
        <w:t>1、谈判报价供应商的资格证明文件：</w:t>
      </w:r>
    </w:p>
    <w:p>
      <w:pPr>
        <w:spacing w:line="288" w:lineRule="auto"/>
        <w:ind w:right="26" w:firstLine="480" w:firstLineChars="200"/>
        <w:rPr>
          <w:rFonts w:cs="仿宋_GB2312"/>
        </w:rPr>
      </w:pPr>
      <w:r>
        <w:rPr>
          <w:rFonts w:hint="eastAsia" w:cs="仿宋_GB2312"/>
        </w:rPr>
        <w:t>（1）合法有效的法人营业执照复印件；</w:t>
      </w:r>
    </w:p>
    <w:p>
      <w:pPr>
        <w:spacing w:line="288" w:lineRule="auto"/>
        <w:ind w:right="26" w:firstLine="480" w:firstLineChars="200"/>
        <w:rPr>
          <w:rFonts w:cs="仿宋_GB2312"/>
          <w:shd w:val="clear" w:color="auto" w:fill="FFFFFF" w:themeFill="background1"/>
        </w:rPr>
      </w:pPr>
      <w:r>
        <w:rPr>
          <w:rFonts w:hint="eastAsia" w:cs="仿宋_GB2312"/>
          <w:shd w:val="clear" w:color="auto" w:fill="FFFFFF" w:themeFill="background1"/>
        </w:rPr>
        <w:t>（2）供应商资质类别和等级：</w:t>
      </w:r>
      <w:r>
        <w:rPr>
          <w:rFonts w:hint="eastAsia" w:cs="仿宋_GB2312"/>
          <w:b/>
          <w:bCs/>
          <w:shd w:val="clear" w:color="auto" w:fill="FFFFFF" w:themeFill="background1"/>
        </w:rPr>
        <w:t>具备建筑装修装饰工程专业承包</w:t>
      </w:r>
      <w:r>
        <w:rPr>
          <w:rFonts w:hint="eastAsia" w:cs="仿宋_GB2312"/>
          <w:b/>
          <w:bCs/>
          <w:shd w:val="clear" w:color="auto" w:fill="FFFFFF" w:themeFill="background1"/>
          <w:lang w:val="en-US" w:eastAsia="zh-CN"/>
        </w:rPr>
        <w:t>三</w:t>
      </w:r>
      <w:r>
        <w:rPr>
          <w:rFonts w:hint="eastAsia" w:cs="仿宋_GB2312"/>
          <w:b/>
          <w:bCs/>
          <w:shd w:val="clear" w:color="auto" w:fill="FFFFFF" w:themeFill="background1"/>
        </w:rPr>
        <w:t>级及以上资质，并具有有效的安全生产许可证；</w:t>
      </w:r>
    </w:p>
    <w:p>
      <w:pPr>
        <w:spacing w:line="288" w:lineRule="auto"/>
        <w:ind w:right="26" w:firstLine="480" w:firstLineChars="200"/>
        <w:rPr>
          <w:rFonts w:cs="仿宋_GB2312"/>
          <w:u w:val="single"/>
          <w:shd w:val="clear" w:color="auto" w:fill="FFFFFF" w:themeFill="background1"/>
        </w:rPr>
      </w:pPr>
      <w:r>
        <w:rPr>
          <w:rFonts w:hint="eastAsia" w:cs="仿宋_GB2312"/>
          <w:shd w:val="clear" w:color="auto" w:fill="FFFFFF" w:themeFill="background1"/>
        </w:rPr>
        <w:t>（3）供应商拟选派工程师资格等级：</w:t>
      </w:r>
      <w:r>
        <w:rPr>
          <w:rFonts w:hint="eastAsia" w:cs="仿宋_GB2312"/>
          <w:b/>
          <w:bCs/>
          <w:shd w:val="clear" w:color="auto" w:fill="FFFFFF" w:themeFill="background1"/>
        </w:rPr>
        <w:t>具备注册建造师证建筑工程二级及以上资质，具有有效安全生产考核合格证B类，并提供有效劳动合同和</w:t>
      </w:r>
      <w:r>
        <w:rPr>
          <w:rFonts w:hint="eastAsia" w:cs="仿宋_GB2312"/>
          <w:b/>
          <w:bCs/>
          <w:shd w:val="clear" w:color="auto" w:fill="FFFFFF" w:themeFill="background1"/>
          <w:lang w:val="en-US" w:eastAsia="zh-CN"/>
        </w:rPr>
        <w:t>开标前六月内任一月</w:t>
      </w:r>
      <w:r>
        <w:rPr>
          <w:rFonts w:hint="eastAsia" w:cs="仿宋_GB2312"/>
          <w:b/>
          <w:bCs/>
          <w:shd w:val="clear" w:color="auto" w:fill="FFFFFF" w:themeFill="background1"/>
        </w:rPr>
        <w:t>的社会保险证明，项目经理必须为投标申请单位正式员工。</w:t>
      </w:r>
    </w:p>
    <w:p>
      <w:pPr>
        <w:spacing w:line="288" w:lineRule="auto"/>
        <w:ind w:right="26" w:firstLine="480" w:firstLineChars="200"/>
        <w:rPr>
          <w:bCs/>
        </w:rPr>
      </w:pPr>
      <w:r>
        <w:rPr>
          <w:rFonts w:hint="eastAsia" w:cs="仿宋_GB2312"/>
        </w:rPr>
        <w:t>（4）</w:t>
      </w:r>
      <w:r>
        <w:rPr>
          <w:rFonts w:hint="eastAsia"/>
          <w:bCs/>
        </w:rPr>
        <w:t>财务状况报告，至少提供：</w:t>
      </w:r>
    </w:p>
    <w:p>
      <w:pPr>
        <w:spacing w:line="288" w:lineRule="auto"/>
        <w:ind w:right="26" w:firstLine="480" w:firstLineChars="200"/>
        <w:rPr>
          <w:bCs/>
        </w:rPr>
      </w:pPr>
      <w:r>
        <w:rPr>
          <w:rFonts w:hint="eastAsia"/>
        </w:rPr>
        <w:t>4.1供应商的提交首次响应文件时间前</w:t>
      </w:r>
      <w:r>
        <w:rPr>
          <w:rFonts w:hint="eastAsia"/>
          <w:bCs/>
        </w:rPr>
        <w:t>6个月内任何1月（不含谈判当月）的资产负债表复印件1份；</w:t>
      </w:r>
    </w:p>
    <w:p>
      <w:pPr>
        <w:spacing w:line="288" w:lineRule="auto"/>
        <w:ind w:right="26" w:firstLine="480" w:firstLineChars="200"/>
        <w:rPr>
          <w:rFonts w:cs="仿宋_GB2312"/>
        </w:rPr>
      </w:pPr>
      <w:r>
        <w:rPr>
          <w:rFonts w:hint="eastAsia"/>
        </w:rPr>
        <w:t>4.2供应商的提交首次响应文件时间前</w:t>
      </w:r>
      <w:r>
        <w:rPr>
          <w:rFonts w:hint="eastAsia"/>
          <w:bCs/>
        </w:rPr>
        <w:t>6个月内任何1月（不含谈判当月）利润表月报表复印件1份。</w:t>
      </w:r>
    </w:p>
    <w:p>
      <w:pPr>
        <w:spacing w:line="288" w:lineRule="auto"/>
        <w:ind w:firstLine="480" w:firstLineChars="200"/>
        <w:rPr>
          <w:rFonts w:cs="仿宋_GB2312"/>
        </w:rPr>
      </w:pPr>
      <w:r>
        <w:rPr>
          <w:rFonts w:hint="eastAsia" w:cs="仿宋_GB2312"/>
        </w:rPr>
        <w:t>（5）</w:t>
      </w:r>
      <w:r>
        <w:rPr>
          <w:rFonts w:hint="eastAsia"/>
        </w:rPr>
        <w:t>供应商的提交首次响应文件时间前6个月内任何1月（不含谈判当月）的依法缴纳税收和社会保障资金的相关材料复印件；</w:t>
      </w:r>
    </w:p>
    <w:p>
      <w:pPr>
        <w:spacing w:line="288" w:lineRule="auto"/>
        <w:ind w:firstLine="480" w:firstLineChars="200"/>
        <w:rPr>
          <w:b/>
          <w:bCs/>
        </w:rPr>
      </w:pPr>
      <w:r>
        <w:rPr>
          <w:rFonts w:hint="eastAsia" w:cs="仿宋_GB2312"/>
        </w:rPr>
        <w:t>（6）具备履行合同所必需的设备和专业技术能力的证明材料复印件（即提供供应商资质证书和</w:t>
      </w:r>
      <w:r>
        <w:rPr>
          <w:rFonts w:hint="eastAsia"/>
          <w:bCs/>
        </w:rPr>
        <w:t>至少1名为本项目服务的注册建造师</w:t>
      </w:r>
      <w:r>
        <w:rPr>
          <w:rFonts w:hint="eastAsia" w:cs="仿宋_GB2312"/>
        </w:rPr>
        <w:t>资格</w:t>
      </w:r>
      <w:r>
        <w:rPr>
          <w:rFonts w:hint="eastAsia"/>
          <w:bCs/>
        </w:rPr>
        <w:t>证书复印件</w:t>
      </w:r>
      <w:r>
        <w:rPr>
          <w:rFonts w:hint="eastAsia" w:cs="仿宋_GB2312"/>
        </w:rPr>
        <w:t>）；</w:t>
      </w:r>
    </w:p>
    <w:p>
      <w:pPr>
        <w:spacing w:line="288" w:lineRule="auto"/>
        <w:ind w:firstLine="480" w:firstLineChars="200"/>
        <w:rPr>
          <w:rFonts w:cs="仿宋_GB2312"/>
        </w:rPr>
      </w:pPr>
      <w:r>
        <w:rPr>
          <w:rFonts w:hint="eastAsia" w:cs="仿宋_GB2312"/>
        </w:rPr>
        <w:t>6.1、供应商参加政府采购活动前3年内在经营活动中没有重大违法记录的书面声明（加盖公章，格式见附件）；</w:t>
      </w:r>
    </w:p>
    <w:p>
      <w:pPr>
        <w:spacing w:line="288" w:lineRule="auto"/>
        <w:ind w:firstLine="480" w:firstLineChars="200"/>
        <w:rPr>
          <w:rFonts w:cs="仿宋_GB2312"/>
        </w:rPr>
      </w:pPr>
      <w:r>
        <w:rPr>
          <w:rFonts w:hint="eastAsia" w:cs="仿宋_GB2312"/>
        </w:rPr>
        <w:t>6.2、法人授权委托书（格式见《谈判文件》附件）；</w:t>
      </w:r>
    </w:p>
    <w:p>
      <w:pPr>
        <w:spacing w:line="288" w:lineRule="auto"/>
        <w:ind w:firstLine="480" w:firstLineChars="200"/>
        <w:rPr>
          <w:rFonts w:cs="仿宋_GB2312"/>
        </w:rPr>
      </w:pPr>
      <w:r>
        <w:rPr>
          <w:rFonts w:hint="eastAsia" w:cs="仿宋_GB2312"/>
        </w:rPr>
        <w:t>6.3、法人授权委托书中受托人身份证复印件；</w:t>
      </w:r>
    </w:p>
    <w:p>
      <w:pPr>
        <w:spacing w:line="288" w:lineRule="auto"/>
        <w:ind w:firstLine="480" w:firstLineChars="200"/>
        <w:rPr>
          <w:rFonts w:cs="仿宋_GB2312"/>
        </w:rPr>
      </w:pPr>
      <w:r>
        <w:rPr>
          <w:rFonts w:hint="eastAsia" w:cs="仿宋_GB2312"/>
        </w:rPr>
        <w:t>6.4、偏离表（格式见《谈判文件》附件）；</w:t>
      </w:r>
    </w:p>
    <w:p>
      <w:pPr>
        <w:widowControl w:val="0"/>
        <w:spacing w:line="288" w:lineRule="auto"/>
        <w:ind w:right="-382" w:rightChars="-159" w:firstLine="480" w:firstLineChars="200"/>
      </w:pPr>
      <w:r>
        <w:rPr>
          <w:rFonts w:hint="eastAsia"/>
        </w:rPr>
        <w:t>6.5、</w:t>
      </w:r>
      <w:r>
        <w:rPr>
          <w:rFonts w:hint="eastAsia" w:cs="仿宋_GB2312"/>
        </w:rPr>
        <w:t>主要材料（设备）一览表</w:t>
      </w:r>
      <w:r>
        <w:rPr>
          <w:rFonts w:hint="eastAsia"/>
        </w:rPr>
        <w:t>（加盖公章，格式见《谈判文件》附件）；</w:t>
      </w:r>
    </w:p>
    <w:p>
      <w:pPr>
        <w:widowControl w:val="0"/>
        <w:spacing w:line="288" w:lineRule="auto"/>
        <w:ind w:right="-382" w:rightChars="-159" w:firstLine="480" w:firstLineChars="200"/>
        <w:rPr>
          <w:bCs/>
        </w:rPr>
      </w:pPr>
      <w:r>
        <w:rPr>
          <w:rFonts w:hint="eastAsia"/>
          <w:bCs/>
        </w:rPr>
        <w:t>6.6、</w:t>
      </w:r>
      <w:r>
        <w:rPr>
          <w:rFonts w:hint="eastAsia"/>
        </w:rPr>
        <w:t>工程量清单及施工组织设计方案</w:t>
      </w:r>
      <w:r>
        <w:rPr>
          <w:rFonts w:hint="eastAsia"/>
          <w:bCs/>
        </w:rPr>
        <w:t>（要求见《谈判文件》附件：1、《项目要求（采购需求）》）；</w:t>
      </w:r>
    </w:p>
    <w:p>
      <w:pPr>
        <w:widowControl w:val="0"/>
        <w:spacing w:line="288" w:lineRule="auto"/>
        <w:ind w:firstLine="480" w:firstLineChars="200"/>
      </w:pPr>
      <w:r>
        <w:rPr>
          <w:rFonts w:hint="eastAsia"/>
        </w:rPr>
        <w:t>6.7、谈判文件中要求的相关内容及供应商认为其他需要说明的事项（如有）。</w:t>
      </w:r>
    </w:p>
    <w:p>
      <w:pPr>
        <w:spacing w:line="288" w:lineRule="auto"/>
        <w:ind w:firstLine="480" w:firstLineChars="200"/>
      </w:pPr>
      <w:r>
        <w:rPr>
          <w:rFonts w:hint="eastAsia"/>
        </w:rPr>
        <w:t>6.8、供应商为中小企业（含中型、小型、微型企业，下同）的，提供《中小企业声明函》原件（加盖公章，格式见《谈判文件》附件，非必须提供）。</w:t>
      </w:r>
    </w:p>
    <w:p>
      <w:pPr>
        <w:spacing w:line="288" w:lineRule="auto"/>
        <w:ind w:left="202" w:leftChars="84" w:right="34" w:rightChars="14" w:firstLine="240" w:firstLineChars="100"/>
      </w:pPr>
      <w:r>
        <w:rPr>
          <w:rFonts w:hint="eastAsia"/>
        </w:rPr>
        <w:t>（或者“提供省级以上监狱管理局、戒毒管理局（含新疆生产建设兵团）出具的属于监狱企业的证明文件复印件。” 具体以《</w:t>
      </w:r>
      <w:r>
        <w:t>财政部 司法部关于政府采购支持监狱企业发展有关问题的通知</w:t>
      </w:r>
      <w:r>
        <w:rPr>
          <w:rFonts w:hint="eastAsia"/>
        </w:rPr>
        <w:t>》（财库〔2014〕68号）的规定为准。 ）</w:t>
      </w:r>
    </w:p>
    <w:p>
      <w:pPr>
        <w:spacing w:line="288" w:lineRule="auto"/>
        <w:ind w:firstLine="480" w:firstLineChars="200"/>
      </w:pPr>
      <w:r>
        <w:rPr>
          <w:rFonts w:hint="eastAsia"/>
        </w:rPr>
        <w:t>注：中小企业（含中型、小型、微型企业，下同）应当同时符合以下条件：</w:t>
      </w:r>
      <w:r>
        <w:br w:type="textWrapping"/>
      </w:r>
      <w:r>
        <w:rPr>
          <w:rFonts w:hint="eastAsia"/>
        </w:rPr>
        <w:t>　  （1）符合中小企业划分标准；</w:t>
      </w:r>
      <w:r>
        <w:br w:type="textWrapping"/>
      </w:r>
      <w:r>
        <w:t xml:space="preserve">    </w:t>
      </w:r>
      <w:r>
        <w:rPr>
          <w:rFonts w:hint="eastAsia"/>
        </w:rPr>
        <w:t>（</w:t>
      </w:r>
      <w:r>
        <w:t>2</w:t>
      </w:r>
      <w:r>
        <w:rPr>
          <w:rFonts w:hint="eastAsia"/>
        </w:rPr>
        <w:t>）提供本企业制造的货物、承担的工程或者服务，或者提供其他中小企业制造的货物。本项所称货物不包括使用大型企业注册商标的货物。小型、微型企业提供中型企业制造的货物的，视同为中型企业。</w:t>
      </w:r>
      <w:r>
        <w:br w:type="textWrapping"/>
      </w:r>
      <w:r>
        <w:t xml:space="preserve">    </w:t>
      </w:r>
      <w:r>
        <w:rPr>
          <w:rFonts w:hint="eastAsia"/>
        </w:rPr>
        <w:t>具体以《政府采购促进中小企业发展管理办法》（财库[2020]46号）的规定为准。</w:t>
      </w:r>
    </w:p>
    <w:p>
      <w:pPr>
        <w:spacing w:line="288" w:lineRule="auto"/>
        <w:ind w:firstLine="480" w:firstLineChars="200"/>
      </w:pPr>
      <w:r>
        <w:rPr>
          <w:rFonts w:hint="eastAsia"/>
        </w:rPr>
        <w:t>6.9、供应商为残疾人福利性单位的，提供《残疾人福利性单位声明函》原件（加盖公章，非必须提供）。具体以《财政部民政部中国残疾人联合会关于促进残疾人就业政府采购政策的通知》（财库〔2017〕141号）的规定为准。</w:t>
      </w:r>
    </w:p>
    <w:p>
      <w:pPr>
        <w:spacing w:line="288" w:lineRule="auto"/>
        <w:ind w:firstLine="480" w:firstLineChars="200"/>
        <w:rPr>
          <w:bCs/>
        </w:rPr>
      </w:pPr>
      <w:r>
        <w:rPr>
          <w:rFonts w:hint="eastAsia"/>
          <w:bCs/>
        </w:rPr>
        <w:t>说明：</w:t>
      </w:r>
    </w:p>
    <w:p>
      <w:pPr>
        <w:spacing w:line="288" w:lineRule="auto"/>
        <w:ind w:firstLine="480" w:firstLineChars="200"/>
      </w:pPr>
      <w:r>
        <w:rPr>
          <w:rFonts w:hint="eastAsia"/>
          <w:bCs/>
        </w:rPr>
        <w:t>1、</w:t>
      </w:r>
      <w:r>
        <w:rPr>
          <w:rFonts w:hint="eastAsia"/>
        </w:rPr>
        <w:t>本项目不接受联合体参与采购活动。</w:t>
      </w:r>
    </w:p>
    <w:p>
      <w:pPr>
        <w:spacing w:line="288" w:lineRule="auto"/>
        <w:ind w:firstLine="480" w:firstLineChars="200"/>
        <w:rPr>
          <w:bCs/>
        </w:rPr>
      </w:pPr>
      <w:r>
        <w:rPr>
          <w:rFonts w:hint="eastAsia"/>
          <w:bCs/>
        </w:rPr>
        <w:t>2、单位负责人为同一人或者存在直接控股、管理关系的不同供应商，不得参加同一合同项下的政府采购活动。</w:t>
      </w:r>
    </w:p>
    <w:p>
      <w:pPr>
        <w:spacing w:line="288" w:lineRule="auto"/>
        <w:ind w:firstLine="480" w:firstLineChars="200"/>
        <w:rPr>
          <w:bCs/>
        </w:rPr>
      </w:pPr>
      <w:r>
        <w:rPr>
          <w:rFonts w:hint="eastAsia"/>
        </w:rPr>
        <w:t>3、为本采购项目提供整体设计、规范编制或者项目管理、监理、检测等服务的供应商，不得再参加本采购项目的采购活动。</w:t>
      </w:r>
    </w:p>
    <w:p>
      <w:pPr>
        <w:spacing w:line="288" w:lineRule="auto"/>
        <w:ind w:left="480" w:leftChars="200"/>
      </w:pPr>
      <w:r>
        <w:rPr>
          <w:rFonts w:hint="eastAsia"/>
        </w:rPr>
        <w:t>4、查询及使用供应商信用记录：</w:t>
      </w:r>
      <w:r>
        <w:rPr>
          <w:rFonts w:hint="eastAsia"/>
          <w:sz w:val="18"/>
          <w:szCs w:val="18"/>
        </w:rPr>
        <w:br w:type="textWrapping"/>
      </w:r>
      <w:r>
        <w:rPr>
          <w:rFonts w:hint="eastAsia"/>
        </w:rPr>
        <w:t>⑴由采购人查询信用信息。</w:t>
      </w:r>
      <w:r>
        <w:rPr>
          <w:rFonts w:hint="eastAsia"/>
          <w:sz w:val="18"/>
          <w:szCs w:val="18"/>
        </w:rPr>
        <w:br w:type="textWrapping"/>
      </w:r>
      <w:r>
        <w:rPr>
          <w:rFonts w:hint="eastAsia"/>
        </w:rPr>
        <w:t>⑵查询渠道包括：</w:t>
      </w:r>
      <w:r>
        <w:rPr>
          <w:rFonts w:hint="eastAsia"/>
          <w:sz w:val="18"/>
          <w:szCs w:val="18"/>
        </w:rPr>
        <w:br w:type="textWrapping"/>
      </w:r>
      <w:r>
        <w:rPr>
          <w:rFonts w:hint="eastAsia"/>
        </w:rPr>
        <w:t>①“信用中国”网（www.creditchina.gov.cn）；</w:t>
      </w:r>
      <w:r>
        <w:rPr>
          <w:rFonts w:hint="eastAsia"/>
          <w:sz w:val="18"/>
          <w:szCs w:val="18"/>
        </w:rPr>
        <w:br w:type="textWrapping"/>
      </w:r>
      <w:r>
        <w:rPr>
          <w:rFonts w:hint="eastAsia"/>
        </w:rPr>
        <w:t>② 中国政府采购网（www.ccgp.gov.cn）；</w:t>
      </w:r>
      <w:r>
        <w:rPr>
          <w:rFonts w:hint="eastAsia"/>
          <w:sz w:val="18"/>
          <w:szCs w:val="18"/>
        </w:rPr>
        <w:br w:type="textWrapping"/>
      </w:r>
      <w:r>
        <w:rPr>
          <w:rFonts w:hint="eastAsia"/>
        </w:rPr>
        <w:t>③“诚信江苏”网（www.jiangsu.gov.cn/jsxy/index.htm）；</w:t>
      </w:r>
      <w:r>
        <w:rPr>
          <w:rFonts w:hint="eastAsia"/>
          <w:sz w:val="18"/>
          <w:szCs w:val="18"/>
        </w:rPr>
        <w:br w:type="textWrapping"/>
      </w:r>
      <w:r>
        <w:rPr>
          <w:rFonts w:hint="eastAsia"/>
        </w:rPr>
        <w:t>④“诚信徐州”网（ http://www.xuzhoucredit.gov.cn）；</w:t>
      </w:r>
      <w:r>
        <w:rPr>
          <w:rFonts w:hint="eastAsia"/>
          <w:sz w:val="18"/>
          <w:szCs w:val="18"/>
        </w:rPr>
        <w:br w:type="textWrapping"/>
      </w:r>
      <w:r>
        <w:rPr>
          <w:rFonts w:hint="eastAsia"/>
        </w:rPr>
        <w:t>⑤江苏省政府采购信用评价系统。</w:t>
      </w:r>
      <w:r>
        <w:rPr>
          <w:rFonts w:hint="eastAsia"/>
          <w:sz w:val="18"/>
          <w:szCs w:val="18"/>
        </w:rPr>
        <w:br w:type="textWrapping"/>
      </w:r>
      <w:r>
        <w:rPr>
          <w:rFonts w:hint="eastAsia"/>
        </w:rPr>
        <w:t>⑶截止时点（查询环节）：评标结束前。</w:t>
      </w:r>
      <w:r>
        <w:rPr>
          <w:rFonts w:hint="eastAsia"/>
          <w:sz w:val="18"/>
          <w:szCs w:val="18"/>
        </w:rPr>
        <w:br w:type="textWrapping"/>
      </w:r>
      <w:r>
        <w:rPr>
          <w:rFonts w:hint="eastAsia"/>
        </w:rPr>
        <w:t>⑷信用信息查询记录和证据留存的具体方式：</w:t>
      </w:r>
      <w:r>
        <w:rPr>
          <w:rFonts w:hint="eastAsia"/>
          <w:sz w:val="18"/>
          <w:szCs w:val="18"/>
        </w:rPr>
        <w:br w:type="textWrapping"/>
      </w:r>
      <w:r>
        <w:rPr>
          <w:rFonts w:hint="eastAsia"/>
        </w:rPr>
        <w:t>网页截屏打印，与其他采购文件一并保存。 </w:t>
      </w:r>
      <w:r>
        <w:rPr>
          <w:rFonts w:hint="eastAsia"/>
          <w:sz w:val="18"/>
          <w:szCs w:val="18"/>
        </w:rPr>
        <w:br w:type="textWrapping"/>
      </w:r>
      <w:r>
        <w:rPr>
          <w:rFonts w:hint="eastAsia"/>
        </w:rPr>
        <w:t>⑸信用信息的使用规则：</w:t>
      </w:r>
      <w:r>
        <w:rPr>
          <w:rFonts w:hint="eastAsia"/>
          <w:sz w:val="18"/>
          <w:szCs w:val="18"/>
        </w:rPr>
        <w:br w:type="textWrapping"/>
      </w:r>
      <w:r>
        <w:rPr>
          <w:rFonts w:hint="eastAsia"/>
        </w:rPr>
        <w:t>采购人对供应商信用记录进行甄别，对列入失信被执行人、重大税收违法案件当事人名单、政府采购严重违法失信行为记录名单及其他不符合《中华人民共和国政府采购法》第二十二条规定条件的供应商，拒绝其参与政府采购活动。</w:t>
      </w:r>
    </w:p>
    <w:p>
      <w:pPr>
        <w:spacing w:line="288" w:lineRule="auto"/>
        <w:ind w:firstLine="480" w:firstLineChars="200"/>
      </w:pPr>
      <w:r>
        <w:rPr>
          <w:rFonts w:hint="eastAsia"/>
          <w:lang w:val="en-US" w:eastAsia="zh-CN"/>
        </w:rPr>
        <w:t>5</w:t>
      </w:r>
      <w:r>
        <w:rPr>
          <w:rFonts w:hint="eastAsia"/>
        </w:rPr>
        <w:t>、首次响应文件应装订成册，编制目录，注明页码，并在正本上逐页加盖印章（公章）或由《法人授权委托书》中受托人签字（《谈判文件》要求加盖印章（公章）的必须加盖印章（公章））。副本可以是正本的复印件。</w:t>
      </w:r>
    </w:p>
    <w:p>
      <w:pPr>
        <w:spacing w:line="288" w:lineRule="auto"/>
        <w:ind w:firstLine="480" w:firstLineChars="200"/>
      </w:pPr>
      <w:r>
        <w:rPr>
          <w:rFonts w:hint="eastAsia"/>
        </w:rPr>
        <w:t>6、</w:t>
      </w:r>
      <w:r>
        <w:t>供应商应当按照谈判文件的要求编制响应文件，并对其提交的响应文件的真实性、合法性承担法律责任。</w:t>
      </w:r>
    </w:p>
    <w:p>
      <w:pPr>
        <w:spacing w:line="288" w:lineRule="auto"/>
        <w:outlineLvl w:val="2"/>
        <w:rPr>
          <w:rFonts w:cs="仿宋_GB2312"/>
        </w:rPr>
      </w:pPr>
      <w:r>
        <w:rPr>
          <w:rFonts w:hint="eastAsia" w:cs="仿宋_GB2312"/>
        </w:rPr>
        <w:t>三、谈判保证金</w:t>
      </w:r>
    </w:p>
    <w:p>
      <w:pPr>
        <w:spacing w:line="288" w:lineRule="auto"/>
        <w:ind w:firstLine="482" w:firstLineChars="200"/>
        <w:rPr>
          <w:rFonts w:cs="仿宋_GB2312"/>
          <w:b/>
          <w:bCs/>
        </w:rPr>
      </w:pPr>
      <w:r>
        <w:rPr>
          <w:rFonts w:hint="eastAsia" w:cs="仿宋_GB2312"/>
          <w:b/>
          <w:bCs/>
        </w:rPr>
        <w:t>本项目不收取谈判保证金。</w:t>
      </w:r>
    </w:p>
    <w:p>
      <w:pPr>
        <w:tabs>
          <w:tab w:val="left" w:pos="0"/>
        </w:tabs>
        <w:spacing w:line="288" w:lineRule="auto"/>
        <w:outlineLvl w:val="2"/>
        <w:rPr>
          <w:rFonts w:cs="仿宋_GB2312"/>
        </w:rPr>
      </w:pPr>
      <w:r>
        <w:rPr>
          <w:rFonts w:hint="eastAsia" w:cs="仿宋_GB2312"/>
        </w:rPr>
        <w:t>四、谈判报价要求</w:t>
      </w:r>
    </w:p>
    <w:p>
      <w:pPr>
        <w:tabs>
          <w:tab w:val="left" w:pos="0"/>
        </w:tabs>
        <w:spacing w:line="288" w:lineRule="auto"/>
        <w:ind w:firstLine="497"/>
        <w:rPr>
          <w:rFonts w:cs="仿宋_GB2312"/>
        </w:rPr>
      </w:pPr>
      <w:r>
        <w:rPr>
          <w:rFonts w:hint="eastAsia" w:cs="仿宋_GB2312"/>
        </w:rPr>
        <w:t>1、 供应商应按照谈判文件的要求报出分项价格和总价。</w:t>
      </w:r>
    </w:p>
    <w:p>
      <w:pPr>
        <w:tabs>
          <w:tab w:val="left" w:pos="0"/>
        </w:tabs>
        <w:spacing w:line="288" w:lineRule="auto"/>
        <w:ind w:firstLine="497"/>
        <w:rPr>
          <w:rFonts w:cs="仿宋_GB2312"/>
        </w:rPr>
      </w:pPr>
      <w:r>
        <w:rPr>
          <w:rFonts w:hint="eastAsia" w:cs="仿宋_GB2312"/>
        </w:rPr>
        <w:t>2、 供应商应按照谈判文件的要求进行报价，如供应商作出偏离，应在《偏离表》中列出。</w:t>
      </w:r>
    </w:p>
    <w:p>
      <w:pPr>
        <w:tabs>
          <w:tab w:val="left" w:pos="0"/>
        </w:tabs>
        <w:spacing w:line="288" w:lineRule="auto"/>
        <w:ind w:firstLine="497"/>
        <w:rPr>
          <w:rFonts w:cs="仿宋_GB2312"/>
        </w:rPr>
      </w:pPr>
      <w:r>
        <w:rPr>
          <w:rFonts w:hint="eastAsia" w:cs="仿宋_GB2312"/>
        </w:rPr>
        <w:t>3、采购人不支付报价以外的任何费用。</w:t>
      </w:r>
    </w:p>
    <w:p>
      <w:pPr>
        <w:tabs>
          <w:tab w:val="left" w:pos="0"/>
        </w:tabs>
        <w:spacing w:line="288" w:lineRule="auto"/>
        <w:ind w:firstLine="497"/>
        <w:rPr>
          <w:rFonts w:cs="仿宋_GB2312"/>
        </w:rPr>
      </w:pPr>
      <w:r>
        <w:rPr>
          <w:rFonts w:hint="eastAsia" w:cs="仿宋_GB2312"/>
        </w:rPr>
        <w:t>4、供应商所报的价格在合同执行过程中是固定的，不得以任何理由予以变更。供应商提交滑动价格的响应文件在资格性、符合性检查时按照无效投标处理。</w:t>
      </w:r>
    </w:p>
    <w:p>
      <w:pPr>
        <w:tabs>
          <w:tab w:val="left" w:pos="0"/>
        </w:tabs>
        <w:spacing w:line="288" w:lineRule="auto"/>
        <w:ind w:firstLine="497"/>
        <w:rPr>
          <w:rFonts w:cs="仿宋_GB2312"/>
        </w:rPr>
      </w:pPr>
      <w:r>
        <w:rPr>
          <w:rFonts w:hint="eastAsia" w:cs="仿宋_GB2312"/>
        </w:rPr>
        <w:t>5、供应商最终只能提交一个响应价格。</w:t>
      </w:r>
    </w:p>
    <w:p>
      <w:pPr>
        <w:tabs>
          <w:tab w:val="left" w:pos="0"/>
        </w:tabs>
        <w:spacing w:line="288" w:lineRule="auto"/>
        <w:outlineLvl w:val="2"/>
        <w:rPr>
          <w:rFonts w:cs="仿宋_GB2312"/>
          <w:b/>
          <w:bCs/>
        </w:rPr>
      </w:pPr>
      <w:r>
        <w:rPr>
          <w:rFonts w:hint="eastAsia" w:cs="仿宋_GB2312"/>
          <w:b/>
          <w:bCs/>
        </w:rPr>
        <w:t>五、谈判响应文件密封、盖章要求：</w:t>
      </w:r>
    </w:p>
    <w:p>
      <w:pPr>
        <w:adjustRightInd w:val="0"/>
        <w:snapToGrid w:val="0"/>
        <w:spacing w:line="288" w:lineRule="auto"/>
        <w:ind w:firstLine="492"/>
      </w:pPr>
      <w:r>
        <w:rPr>
          <w:rFonts w:hint="eastAsia" w:cs="仿宋_GB2312"/>
        </w:rPr>
        <w:t>1、在规定报价截止时间前，</w:t>
      </w:r>
      <w:r>
        <w:rPr>
          <w:rFonts w:hint="eastAsia"/>
        </w:rPr>
        <w:t>供应商需向本公司提交密封的首次响应文件，</w:t>
      </w:r>
      <w:r>
        <w:rPr>
          <w:rFonts w:hint="eastAsia"/>
          <w:b/>
        </w:rPr>
        <w:t>首次响应文件一式伍份，纸质响应文件正本壹份，副本</w:t>
      </w:r>
      <w:r>
        <w:rPr>
          <w:rFonts w:hint="eastAsia"/>
          <w:b/>
          <w:lang w:val="en-US" w:eastAsia="zh-CN"/>
        </w:rPr>
        <w:t>贰</w:t>
      </w:r>
      <w:r>
        <w:rPr>
          <w:rFonts w:hint="eastAsia"/>
          <w:b/>
        </w:rPr>
        <w:t>份，纸质响应文件需注明“正本”“副本”字样，副本可以是正本的复印件，并使用封袋密封完好，封袋上都应标明项目编号、项目名称，纸质响应文件之间内容不同的，以正本为准。</w:t>
      </w:r>
      <w:r>
        <w:rPr>
          <w:rFonts w:hint="eastAsia"/>
        </w:rPr>
        <w:t>封袋上需注明“于</w:t>
      </w:r>
      <w:r>
        <w:rPr>
          <w:rFonts w:hint="eastAsia"/>
          <w:lang w:eastAsia="zh-CN"/>
        </w:rPr>
        <w:t>2023年11月9日9 :30</w:t>
      </w:r>
      <w:r>
        <w:rPr>
          <w:rFonts w:hint="eastAsia"/>
        </w:rPr>
        <w:t>之前不准启封”及“项目名称：</w:t>
      </w:r>
      <w:r>
        <w:rPr>
          <w:rFonts w:hint="eastAsia"/>
          <w:lang w:eastAsia="zh-CN"/>
        </w:rPr>
        <w:t>学生宿舍用床改造项目</w:t>
      </w:r>
      <w:r>
        <w:rPr>
          <w:rFonts w:hint="eastAsia"/>
        </w:rPr>
        <w:t xml:space="preserve"> 项目编号：</w:t>
      </w:r>
      <w:r>
        <w:rPr>
          <w:rFonts w:hint="eastAsia"/>
          <w:lang w:eastAsia="zh-CN"/>
        </w:rPr>
        <w:t>徐生采（2023）xzsw1102</w:t>
      </w:r>
      <w:r>
        <w:rPr>
          <w:rFonts w:hint="eastAsia"/>
        </w:rPr>
        <w:t>”的字样，并在封袋密封口处加盖供应商公章。</w:t>
      </w:r>
    </w:p>
    <w:p>
      <w:pPr>
        <w:spacing w:line="288" w:lineRule="auto"/>
        <w:ind w:firstLine="480" w:firstLineChars="200"/>
      </w:pPr>
      <w:r>
        <w:rPr>
          <w:rFonts w:hint="eastAsia"/>
        </w:rPr>
        <w:t>本公司不接受不按要求密封、未盖公章、份数不够的纸质响应文件。在截止时间后送达的响应文件为无效文件，将被拒收。</w:t>
      </w:r>
    </w:p>
    <w:p>
      <w:pPr>
        <w:spacing w:line="288" w:lineRule="auto"/>
        <w:ind w:firstLine="480" w:firstLineChars="200"/>
      </w:pPr>
      <w:r>
        <w:rPr>
          <w:rFonts w:hint="eastAsia"/>
        </w:rPr>
        <w:t>响应文件正、副本均不退还供应商，若采购人索取成交供应商的响应文件副本的，须在双方签订政府采购合同后，由本公司提供给采购人。</w:t>
      </w:r>
    </w:p>
    <w:p>
      <w:pPr>
        <w:spacing w:line="288" w:lineRule="auto"/>
        <w:ind w:firstLine="482"/>
        <w:rPr>
          <w:bCs/>
        </w:rPr>
      </w:pPr>
      <w:r>
        <w:rPr>
          <w:rFonts w:hint="eastAsia"/>
          <w:b/>
        </w:rPr>
        <w:t>有下列情形之一的，其投标无效：</w:t>
      </w:r>
    </w:p>
    <w:p>
      <w:pPr>
        <w:spacing w:line="288" w:lineRule="auto"/>
        <w:ind w:firstLine="482"/>
        <w:rPr>
          <w:bCs/>
        </w:rPr>
      </w:pPr>
      <w:r>
        <w:rPr>
          <w:rFonts w:hint="eastAsia"/>
          <w:bCs/>
        </w:rPr>
        <w:t>（1）纸质响应文件未按规定的期限、地点送达的；</w:t>
      </w:r>
    </w:p>
    <w:p>
      <w:pPr>
        <w:spacing w:line="288" w:lineRule="auto"/>
        <w:ind w:firstLine="482"/>
        <w:rPr>
          <w:bCs/>
        </w:rPr>
      </w:pPr>
      <w:r>
        <w:rPr>
          <w:rFonts w:hint="eastAsia"/>
          <w:bCs/>
        </w:rPr>
        <w:t xml:space="preserve">（2）响应文件未按谈判文件要求签章的； </w:t>
      </w:r>
    </w:p>
    <w:p>
      <w:pPr>
        <w:spacing w:line="288" w:lineRule="auto"/>
        <w:ind w:firstLine="482"/>
        <w:rPr>
          <w:bCs/>
        </w:rPr>
      </w:pPr>
      <w:r>
        <w:rPr>
          <w:rFonts w:hint="eastAsia"/>
          <w:bCs/>
        </w:rPr>
        <w:t>（3）响应文件未按谈判文件规定的内容和要求填写的；</w:t>
      </w:r>
    </w:p>
    <w:p>
      <w:pPr>
        <w:spacing w:line="288" w:lineRule="auto"/>
        <w:ind w:firstLine="482"/>
        <w:rPr>
          <w:bCs/>
        </w:rPr>
      </w:pPr>
      <w:r>
        <w:rPr>
          <w:rFonts w:hint="eastAsia"/>
          <w:bCs/>
        </w:rPr>
        <w:t>（4）</w:t>
      </w:r>
      <w:r>
        <w:rPr>
          <w:bCs/>
        </w:rPr>
        <w:t xml:space="preserve"> </w:t>
      </w:r>
      <w:r>
        <w:rPr>
          <w:rFonts w:hint="eastAsia"/>
          <w:bCs/>
        </w:rPr>
        <w:t>不同供应商响应文件内容存在非正常一致、项目组成员出现同一人、响应文件中错误（或异常）一致或雷同、电子文档信息一致或雷同的、投标报价呈规律性差异的。</w:t>
      </w:r>
    </w:p>
    <w:p>
      <w:pPr>
        <w:spacing w:line="288" w:lineRule="auto"/>
        <w:ind w:firstLine="480" w:firstLineChars="200"/>
      </w:pPr>
      <w:r>
        <w:rPr>
          <w:rFonts w:hint="eastAsia"/>
        </w:rPr>
        <w:t>响应文件正、副本均不退还供应商，若采购人索取成交供应商的响应文件副本的，须在双方签定政府采购合同后，提供给采购人。</w:t>
      </w:r>
    </w:p>
    <w:p>
      <w:pPr>
        <w:spacing w:line="288" w:lineRule="auto"/>
        <w:ind w:firstLine="534"/>
        <w:rPr>
          <w:rFonts w:cs="仿宋_GB2312"/>
        </w:rPr>
      </w:pPr>
      <w:r>
        <w:rPr>
          <w:rFonts w:hint="eastAsia" w:cs="仿宋_GB2312"/>
        </w:rPr>
        <w:t>2、本单位不接受不按要求密封、未盖公章、份数不够的响应文件。在截止时间后送达的响应文件为无效文件，将被拒收。</w:t>
      </w:r>
    </w:p>
    <w:p>
      <w:pPr>
        <w:spacing w:line="288" w:lineRule="auto"/>
        <w:ind w:firstLine="534"/>
        <w:rPr>
          <w:rFonts w:cs="仿宋_GB2312"/>
        </w:rPr>
      </w:pPr>
      <w:r>
        <w:rPr>
          <w:rFonts w:hint="eastAsia" w:cs="仿宋_GB2312"/>
        </w:rPr>
        <w:t>3、谈判供应商谈判代表</w:t>
      </w:r>
      <w:r>
        <w:rPr>
          <w:rFonts w:hint="eastAsia" w:cs="仿宋_GB2312"/>
          <w:bCs/>
        </w:rPr>
        <w:t>可携带2-3名</w:t>
      </w:r>
      <w:r>
        <w:rPr>
          <w:rFonts w:hint="eastAsia" w:cs="仿宋_GB2312"/>
        </w:rPr>
        <w:t>经济、技术、法律人员参加谈判。</w:t>
      </w:r>
    </w:p>
    <w:p>
      <w:pPr>
        <w:spacing w:line="288" w:lineRule="auto"/>
        <w:outlineLvl w:val="2"/>
        <w:rPr>
          <w:rFonts w:cs="仿宋_GB2312"/>
          <w:bCs/>
        </w:rPr>
      </w:pPr>
      <w:r>
        <w:rPr>
          <w:rFonts w:hint="eastAsia" w:cs="仿宋_GB2312"/>
          <w:bCs/>
        </w:rPr>
        <w:t>六、</w:t>
      </w:r>
      <w:r>
        <w:rPr>
          <w:rFonts w:hint="eastAsia" w:cs="仿宋_GB2312"/>
        </w:rPr>
        <w:t>提交响应文件要求</w:t>
      </w:r>
    </w:p>
    <w:p>
      <w:pPr>
        <w:spacing w:line="288" w:lineRule="auto"/>
        <w:ind w:firstLine="534"/>
        <w:rPr>
          <w:rFonts w:cs="仿宋_GB2312"/>
          <w:bCs/>
        </w:rPr>
      </w:pPr>
      <w:r>
        <w:rPr>
          <w:rFonts w:hint="eastAsia" w:cs="仿宋_GB2312"/>
          <w:bCs/>
        </w:rPr>
        <w:t>提交首次响应文件时间：</w:t>
      </w:r>
      <w:r>
        <w:rPr>
          <w:rFonts w:hint="eastAsia" w:cs="仿宋_GB2312"/>
          <w:bCs/>
          <w:u w:val="single"/>
          <w:lang w:eastAsia="zh-CN"/>
        </w:rPr>
        <w:t>2023年11月9日</w:t>
      </w:r>
      <w:r>
        <w:rPr>
          <w:rFonts w:hint="eastAsia" w:cs="仿宋_GB2312"/>
          <w:bCs/>
          <w:u w:val="single"/>
          <w:lang w:val="en-US" w:eastAsia="zh-CN"/>
        </w:rPr>
        <w:t>9</w:t>
      </w:r>
      <w:r>
        <w:rPr>
          <w:rFonts w:hint="eastAsia" w:cs="仿宋_GB2312"/>
          <w:bCs/>
          <w:u w:val="single"/>
        </w:rPr>
        <w:t>：00</w:t>
      </w:r>
    </w:p>
    <w:p>
      <w:pPr>
        <w:spacing w:line="288" w:lineRule="auto"/>
        <w:ind w:firstLine="534"/>
        <w:rPr>
          <w:rFonts w:cs="仿宋_GB2312"/>
          <w:bCs/>
        </w:rPr>
      </w:pPr>
      <w:r>
        <w:rPr>
          <w:rFonts w:hint="eastAsia" w:cs="仿宋_GB2312"/>
          <w:bCs/>
        </w:rPr>
        <w:t>提交首次响应文件截止时间：</w:t>
      </w:r>
      <w:r>
        <w:rPr>
          <w:rFonts w:hint="eastAsia" w:cs="仿宋_GB2312"/>
          <w:bCs/>
          <w:u w:val="single"/>
          <w:lang w:eastAsia="zh-CN"/>
        </w:rPr>
        <w:t>2023年11月9日</w:t>
      </w:r>
      <w:r>
        <w:rPr>
          <w:rFonts w:hint="eastAsia" w:cs="仿宋_GB2312"/>
          <w:bCs/>
          <w:u w:val="single"/>
          <w:lang w:val="en-US" w:eastAsia="zh-CN"/>
        </w:rPr>
        <w:t>9</w:t>
      </w:r>
      <w:r>
        <w:rPr>
          <w:rFonts w:hint="eastAsia" w:cs="仿宋_GB2312"/>
          <w:bCs/>
          <w:u w:val="single"/>
        </w:rPr>
        <w:t>：30</w:t>
      </w:r>
      <w:r>
        <w:rPr>
          <w:rFonts w:hint="eastAsia" w:cs="仿宋_GB2312"/>
          <w:bCs/>
        </w:rPr>
        <w:t>，截止时间之后的首次响应文件将被拒绝。</w:t>
      </w:r>
    </w:p>
    <w:p>
      <w:pPr>
        <w:spacing w:line="288" w:lineRule="auto"/>
        <w:ind w:firstLine="534"/>
        <w:rPr>
          <w:rFonts w:cs="仿宋_GB2312"/>
          <w:bCs/>
        </w:rPr>
      </w:pPr>
      <w:r>
        <w:rPr>
          <w:rFonts w:hint="eastAsia" w:cs="仿宋_GB2312"/>
          <w:bCs/>
        </w:rPr>
        <w:t>提交首次响应文件地点：徐州市西三环路297号</w:t>
      </w:r>
      <w:r>
        <w:rPr>
          <w:rFonts w:hint="eastAsia" w:cs="仿宋_GB2312"/>
          <w:bCs/>
          <w:lang w:eastAsia="zh-CN"/>
        </w:rPr>
        <w:t>，</w:t>
      </w:r>
      <w:r>
        <w:rPr>
          <w:rFonts w:hint="eastAsia" w:cs="仿宋_GB2312"/>
          <w:bCs/>
        </w:rPr>
        <w:t>徐州生物工程职业技术学院综合办公楼</w:t>
      </w:r>
      <w:r>
        <w:rPr>
          <w:rFonts w:hint="eastAsia"/>
          <w:lang w:val="en-US" w:eastAsia="zh-CN"/>
        </w:rPr>
        <w:t>三楼国资处评标室</w:t>
      </w:r>
      <w:r>
        <w:rPr>
          <w:rFonts w:hint="eastAsia" w:cs="仿宋_GB2312"/>
          <w:bCs/>
        </w:rPr>
        <w:t>。</w:t>
      </w:r>
    </w:p>
    <w:p>
      <w:pPr>
        <w:spacing w:line="288" w:lineRule="auto"/>
        <w:ind w:firstLine="534"/>
        <w:rPr>
          <w:rFonts w:cs="仿宋_GB2312"/>
          <w:bCs/>
          <w:u w:val="single"/>
        </w:rPr>
      </w:pPr>
      <w:r>
        <w:rPr>
          <w:rFonts w:hint="eastAsia" w:cs="仿宋_GB2312"/>
          <w:bCs/>
        </w:rPr>
        <w:t>评标时间：</w:t>
      </w:r>
      <w:r>
        <w:rPr>
          <w:rFonts w:hint="eastAsia" w:cs="仿宋_GB2312"/>
          <w:bCs/>
          <w:u w:val="single"/>
          <w:lang w:eastAsia="zh-CN"/>
        </w:rPr>
        <w:t>2023年11月9日</w:t>
      </w:r>
      <w:r>
        <w:rPr>
          <w:rFonts w:hint="eastAsia" w:cs="仿宋_GB2312"/>
          <w:bCs/>
          <w:u w:val="single"/>
          <w:lang w:val="en-US" w:eastAsia="zh-CN"/>
        </w:rPr>
        <w:t>9</w:t>
      </w:r>
      <w:r>
        <w:rPr>
          <w:rFonts w:hint="eastAsia" w:cs="仿宋_GB2312"/>
          <w:bCs/>
          <w:u w:val="single"/>
        </w:rPr>
        <w:t>：30</w:t>
      </w:r>
    </w:p>
    <w:p>
      <w:pPr>
        <w:spacing w:line="288" w:lineRule="auto"/>
        <w:ind w:firstLine="534"/>
        <w:rPr>
          <w:rFonts w:cs="仿宋_GB2312"/>
          <w:bCs/>
        </w:rPr>
      </w:pPr>
      <w:r>
        <w:rPr>
          <w:rFonts w:hint="eastAsia" w:cs="仿宋_GB2312"/>
          <w:bCs/>
        </w:rPr>
        <w:t>评标地点：徐州市西三环路297号徐州生物工程职业技术学院综合办公楼三楼国资处评标室。</w:t>
      </w:r>
    </w:p>
    <w:p>
      <w:pPr>
        <w:spacing w:line="288" w:lineRule="auto"/>
        <w:ind w:firstLine="600" w:firstLineChars="250"/>
        <w:rPr>
          <w:rFonts w:cs="仿宋_GB2312"/>
        </w:rPr>
      </w:pPr>
      <w:r>
        <w:rPr>
          <w:rFonts w:hint="eastAsia" w:cs="仿宋_GB2312"/>
          <w:bCs/>
        </w:rPr>
        <w:t>注：</w:t>
      </w:r>
      <w:r>
        <w:rPr>
          <w:rFonts w:hint="eastAsia" w:cs="仿宋_GB2312"/>
        </w:rPr>
        <w:t>响应文件正、副本均不退还供应商。</w:t>
      </w:r>
    </w:p>
    <w:p>
      <w:pPr>
        <w:spacing w:line="288" w:lineRule="auto"/>
        <w:outlineLvl w:val="2"/>
        <w:rPr>
          <w:rFonts w:cs="仿宋_GB2312"/>
        </w:rPr>
      </w:pPr>
      <w:r>
        <w:rPr>
          <w:rFonts w:hint="eastAsia" w:cs="仿宋_GB2312"/>
        </w:rPr>
        <w:t>七、谈判程序：</w:t>
      </w:r>
    </w:p>
    <w:p>
      <w:pPr>
        <w:adjustRightInd w:val="0"/>
        <w:snapToGrid w:val="0"/>
        <w:spacing w:line="288" w:lineRule="auto"/>
        <w:ind w:right="420" w:firstLine="360" w:firstLineChars="150"/>
      </w:pPr>
      <w:r>
        <w:rPr>
          <w:rFonts w:hint="eastAsia"/>
        </w:rPr>
        <w:t xml:space="preserve">（一）成立谈判小组。谈判小组由采购人的代表和有关专家共三人以上的单数组成，其中专家的人数不得少于成员总数的三分之二。 </w:t>
      </w:r>
    </w:p>
    <w:p>
      <w:pPr>
        <w:adjustRightInd w:val="0"/>
        <w:snapToGrid w:val="0"/>
        <w:spacing w:line="288" w:lineRule="auto"/>
        <w:ind w:right="420" w:firstLine="360" w:firstLineChars="150"/>
      </w:pPr>
      <w:r>
        <w:rPr>
          <w:rFonts w:hint="eastAsia"/>
        </w:rPr>
        <w:t xml:space="preserve">（二）制定谈判文件。谈判文件应当明确谈判程序、谈判内容、合同草案的条款以及评定成交的标准等事项。 </w:t>
      </w:r>
    </w:p>
    <w:p>
      <w:pPr>
        <w:adjustRightInd w:val="0"/>
        <w:snapToGrid w:val="0"/>
        <w:spacing w:line="288" w:lineRule="auto"/>
        <w:ind w:right="420" w:firstLine="360" w:firstLineChars="150"/>
      </w:pPr>
      <w:r>
        <w:rPr>
          <w:rFonts w:hint="eastAsia"/>
        </w:rPr>
        <w:t xml:space="preserve">（三）确定参加谈判的供应商名单。本项目通过公开发布竞争性谈判公告方式接受符合相应资格条件的不少于三家供应商自行报名下载谈判文件并参加谈判。 </w:t>
      </w:r>
    </w:p>
    <w:p>
      <w:pPr>
        <w:adjustRightInd w:val="0"/>
        <w:snapToGrid w:val="0"/>
        <w:spacing w:line="288" w:lineRule="auto"/>
        <w:ind w:right="420" w:firstLine="360" w:firstLineChars="150"/>
      </w:pPr>
      <w:r>
        <w:rPr>
          <w:rFonts w:hint="eastAsia"/>
        </w:rPr>
        <w:t xml:space="preserve">（四）谈判。谈判小组所有成员集中与单一供应商分别进行谈判。在谈判中，谈判的任何一方不得透露与谈判有关的其他供应商的技术资料、价格和其他信息。谈判文件有实质性变动的，谈判小组应当以书面形式通知所有参加谈判的供应商。谈判小组根据与供应商谈判情况可能实质性变动的内容包括：采购需求中的技术、服务要求以及合同草案条款。 </w:t>
      </w:r>
    </w:p>
    <w:p>
      <w:pPr>
        <w:adjustRightInd w:val="0"/>
        <w:snapToGrid w:val="0"/>
        <w:spacing w:line="288" w:lineRule="auto"/>
        <w:ind w:right="420" w:firstLine="360" w:firstLineChars="150"/>
      </w:pPr>
      <w:r>
        <w:rPr>
          <w:rFonts w:hint="eastAsia"/>
        </w:rPr>
        <w:t xml:space="preserve">（五）确定成交供应商。谈判结束后，谈判小组应当要求所有参加谈判的供应商在规定时间内进行最后报价，采购人从谈判小组提出的成交候选人中根据符合采购需求、质量和服务相等且报价最低的原则确定成交供应商，并将结果通知所有参加谈判的未成交的供应商。 </w:t>
      </w:r>
    </w:p>
    <w:p>
      <w:pPr>
        <w:spacing w:line="288" w:lineRule="auto"/>
        <w:ind w:firstLine="480" w:firstLineChars="200"/>
      </w:pPr>
      <w:r>
        <w:rPr>
          <w:rFonts w:hint="eastAsia"/>
        </w:rPr>
        <w:t>相关内容和要求见：《中华人民共和国政府采购法》、《中华人民共和国政府采购法实施条例》及</w:t>
      </w:r>
      <w:r>
        <w:t>《政府采购非招标采购方式管理办法》</w:t>
      </w:r>
      <w:r>
        <w:rPr>
          <w:rFonts w:hint="eastAsia"/>
        </w:rPr>
        <w:t>。</w:t>
      </w:r>
    </w:p>
    <w:p>
      <w:pPr>
        <w:spacing w:line="288" w:lineRule="auto"/>
        <w:outlineLvl w:val="2"/>
      </w:pPr>
      <w:r>
        <w:rPr>
          <w:rFonts w:hint="eastAsia" w:cs="仿宋_GB2312"/>
        </w:rPr>
        <w:t>八、</w:t>
      </w:r>
      <w:r>
        <w:t>评定成交的标准</w:t>
      </w:r>
    </w:p>
    <w:p>
      <w:pPr>
        <w:spacing w:line="288" w:lineRule="auto"/>
        <w:ind w:firstLine="537"/>
      </w:pPr>
      <w:r>
        <w:t>采购人从评审报告提出的成交候选人中，根据质量和服务均能满足采购文件实质性响应要求且最后报价最低的原则确定成交供应商。</w:t>
      </w:r>
    </w:p>
    <w:p>
      <w:pPr>
        <w:spacing w:line="288" w:lineRule="auto"/>
        <w:ind w:right="34" w:rightChars="14"/>
        <w:outlineLvl w:val="2"/>
      </w:pPr>
      <w:r>
        <w:rPr>
          <w:rFonts w:hint="eastAsia"/>
        </w:rPr>
        <w:t>九、其他</w:t>
      </w:r>
    </w:p>
    <w:p>
      <w:pPr>
        <w:widowControl w:val="0"/>
        <w:spacing w:line="288" w:lineRule="auto"/>
        <w:ind w:left="2" w:leftChars="1" w:right="34" w:rightChars="14" w:firstLine="480" w:firstLineChars="200"/>
        <w:jc w:val="both"/>
      </w:pPr>
      <w:r>
        <w:rPr>
          <w:rFonts w:hint="eastAsia"/>
        </w:rPr>
        <w:t>（一）</w:t>
      </w:r>
      <w:r>
        <w:t>采购人与成交供应商应当在成交通知书发出之日起</w:t>
      </w:r>
      <w:r>
        <w:rPr>
          <w:rFonts w:hint="eastAsia"/>
          <w:u w:val="single"/>
        </w:rPr>
        <w:t xml:space="preserve"> 15 </w:t>
      </w:r>
      <w:r>
        <w:t>日内，按照采购文件确定的合同文本以及采购标的、规格型号、采购金额、采购数量、技术和服务要求等事项签订政府采购合同。</w:t>
      </w:r>
    </w:p>
    <w:p>
      <w:pPr>
        <w:spacing w:line="288" w:lineRule="auto"/>
        <w:ind w:firstLine="480" w:firstLineChars="200"/>
      </w:pPr>
      <w:r>
        <w:rPr>
          <w:rFonts w:hint="eastAsia"/>
        </w:rPr>
        <w:t>(二)签订合同前，成交供应商必须向采购人提交其响应文件中所有复印件的原件，采购人核查无误后，签订合同。如成交供应商不能在采购人规定的时间内向采购人提供原件，将被采购人认定为具有《中华人民共和国政府采购法》第七十七条所规定的“提供虚假材料谋取中标、成交的”情形，并承担相应的法律责任。特别要求的除外。</w:t>
      </w:r>
    </w:p>
    <w:p>
      <w:pPr>
        <w:adjustRightInd w:val="0"/>
        <w:snapToGrid w:val="0"/>
        <w:spacing w:line="288" w:lineRule="auto"/>
        <w:ind w:firstLine="360" w:firstLineChars="150"/>
      </w:pPr>
      <w:r>
        <w:rPr>
          <w:rFonts w:hint="eastAsia"/>
        </w:rPr>
        <w:t>（三）</w:t>
      </w:r>
      <w:r>
        <w:t>成交供应商</w:t>
      </w:r>
      <w:r>
        <w:rPr>
          <w:rFonts w:hint="eastAsia"/>
        </w:rPr>
        <w:t>在收到</w:t>
      </w:r>
      <w:r>
        <w:t>成交通知书</w:t>
      </w:r>
      <w:r>
        <w:rPr>
          <w:rFonts w:hint="eastAsia"/>
        </w:rPr>
        <w:t>时，须向徐州生物工程职业技术学院提交《谈判报价表》（首次响应文件）和《</w:t>
      </w:r>
      <w:r>
        <w:rPr>
          <w:bCs/>
        </w:rPr>
        <w:t>分项价格表</w:t>
      </w:r>
      <w:r>
        <w:rPr>
          <w:rFonts w:hint="eastAsia"/>
        </w:rPr>
        <w:t>》（首次响应文件）以及《主要材料（设备）一览表》（首次响应文件）的数据文件（WORD格式）。</w:t>
      </w:r>
    </w:p>
    <w:p>
      <w:pPr>
        <w:spacing w:line="288" w:lineRule="auto"/>
        <w:ind w:right="29" w:rightChars="12" w:firstLine="480" w:firstLineChars="200"/>
        <w:rPr>
          <w:rFonts w:cs="仿宋_GB2312"/>
        </w:rPr>
      </w:pPr>
      <w:r>
        <w:rPr>
          <w:rFonts w:hint="eastAsia" w:cs="仿宋_GB2312"/>
        </w:rPr>
        <w:t>采购人：徐州生物工程职业技术学院</w:t>
      </w:r>
    </w:p>
    <w:p>
      <w:pPr>
        <w:spacing w:line="288" w:lineRule="auto"/>
        <w:ind w:right="29" w:rightChars="12" w:firstLine="480" w:firstLineChars="200"/>
        <w:rPr>
          <w:rFonts w:cs="仿宋_GB2312"/>
        </w:rPr>
      </w:pPr>
      <w:r>
        <w:rPr>
          <w:rFonts w:hint="eastAsia" w:cs="仿宋_GB2312"/>
        </w:rPr>
        <w:t>地址：徐州市泉山区西三环路297号</w:t>
      </w:r>
    </w:p>
    <w:p>
      <w:pPr>
        <w:spacing w:line="288" w:lineRule="auto"/>
        <w:ind w:right="29" w:rightChars="12" w:firstLine="480" w:firstLineChars="200"/>
        <w:rPr>
          <w:rFonts w:cs="仿宋_GB2312"/>
        </w:rPr>
      </w:pPr>
      <w:r>
        <w:rPr>
          <w:rFonts w:hint="eastAsia" w:cs="仿宋_GB2312"/>
        </w:rPr>
        <w:t>联系人： 王老师</w:t>
      </w:r>
    </w:p>
    <w:p>
      <w:pPr>
        <w:spacing w:line="288" w:lineRule="auto"/>
        <w:ind w:right="29" w:rightChars="12" w:firstLine="480" w:firstLineChars="200"/>
        <w:rPr>
          <w:rFonts w:cs="仿宋_GB2312"/>
        </w:rPr>
      </w:pPr>
      <w:r>
        <w:rPr>
          <w:rFonts w:hint="eastAsia" w:cs="仿宋_GB2312"/>
        </w:rPr>
        <w:t>联系方式：0516-</w:t>
      </w:r>
      <w:r>
        <w:rPr>
          <w:rFonts w:cs="仿宋_GB2312"/>
        </w:rPr>
        <w:t>83628918</w:t>
      </w:r>
    </w:p>
    <w:p>
      <w:pPr>
        <w:spacing w:line="288" w:lineRule="auto"/>
        <w:ind w:right="29" w:rightChars="12" w:firstLine="480" w:firstLineChars="200"/>
        <w:rPr>
          <w:rFonts w:cs="仿宋_GB2312"/>
        </w:rPr>
      </w:pPr>
    </w:p>
    <w:p>
      <w:pPr>
        <w:spacing w:line="288" w:lineRule="auto"/>
      </w:pPr>
    </w:p>
    <w:p>
      <w:pPr>
        <w:spacing w:line="288" w:lineRule="auto"/>
      </w:pPr>
      <w:r>
        <w:rPr>
          <w:rFonts w:hint="eastAsia"/>
        </w:rPr>
        <w:t>附件：</w:t>
      </w:r>
    </w:p>
    <w:p>
      <w:pPr>
        <w:pStyle w:val="10"/>
        <w:spacing w:line="288" w:lineRule="auto"/>
      </w:pPr>
      <w:r>
        <w:rPr>
          <w:rFonts w:hint="eastAsia"/>
        </w:rPr>
        <w:t>1、《项目要求》（采购需求）</w:t>
      </w:r>
    </w:p>
    <w:p>
      <w:pPr>
        <w:pStyle w:val="10"/>
        <w:spacing w:line="288" w:lineRule="auto"/>
      </w:pPr>
      <w:r>
        <w:rPr>
          <w:rFonts w:hint="eastAsia"/>
        </w:rPr>
        <w:t xml:space="preserve">2、《承诺书》 </w:t>
      </w:r>
    </w:p>
    <w:p>
      <w:pPr>
        <w:pStyle w:val="10"/>
        <w:spacing w:line="288" w:lineRule="auto"/>
      </w:pPr>
      <w:r>
        <w:rPr>
          <w:rFonts w:hint="eastAsia"/>
        </w:rPr>
        <w:t>3、《谈判报价表》</w:t>
      </w:r>
    </w:p>
    <w:p>
      <w:pPr>
        <w:pStyle w:val="10"/>
        <w:spacing w:line="288" w:lineRule="auto"/>
      </w:pPr>
      <w:r>
        <w:rPr>
          <w:rFonts w:hint="eastAsia"/>
        </w:rPr>
        <w:t>4、《主要材料（设备）一览表》</w:t>
      </w:r>
    </w:p>
    <w:p>
      <w:pPr>
        <w:pStyle w:val="10"/>
        <w:spacing w:line="288" w:lineRule="auto"/>
      </w:pPr>
      <w:r>
        <w:rPr>
          <w:rFonts w:hint="eastAsia"/>
        </w:rPr>
        <w:t>5、《法人授权委托书》</w:t>
      </w:r>
    </w:p>
    <w:p>
      <w:pPr>
        <w:pStyle w:val="10"/>
        <w:spacing w:line="288" w:lineRule="auto"/>
      </w:pPr>
      <w:r>
        <w:rPr>
          <w:rFonts w:hint="eastAsia"/>
        </w:rPr>
        <w:t>6、《偏离表》</w:t>
      </w:r>
    </w:p>
    <w:p>
      <w:pPr>
        <w:pStyle w:val="10"/>
        <w:spacing w:line="288" w:lineRule="auto"/>
        <w:rPr>
          <w:rFonts w:hint="eastAsia"/>
        </w:rPr>
      </w:pPr>
      <w:r>
        <w:rPr>
          <w:rFonts w:hint="eastAsia"/>
        </w:rPr>
        <w:t>7、《供应商参加政府采购活动前3年内在经营活动中没有重大违法记录的书面声明》</w:t>
      </w:r>
    </w:p>
    <w:p>
      <w:pPr>
        <w:pStyle w:val="10"/>
        <w:spacing w:line="288" w:lineRule="auto"/>
      </w:pPr>
      <w:r>
        <w:rPr>
          <w:rFonts w:hint="eastAsia"/>
        </w:rPr>
        <w:t xml:space="preserve">8、《具备履行合同所必需的设备和专业技术能力的书面声明》 </w:t>
      </w:r>
    </w:p>
    <w:p>
      <w:pPr>
        <w:spacing w:line="288" w:lineRule="auto"/>
      </w:pPr>
    </w:p>
    <w:p>
      <w:pPr>
        <w:spacing w:line="288" w:lineRule="auto"/>
      </w:pPr>
    </w:p>
    <w:p/>
    <w:p/>
    <w:p>
      <w:pPr>
        <w:pStyle w:val="4"/>
      </w:pPr>
      <w:r>
        <w:rPr>
          <w:rFonts w:hint="eastAsia"/>
        </w:rPr>
        <w:t>1、项目要求（采购需求）</w:t>
      </w:r>
    </w:p>
    <w:p>
      <w:pPr>
        <w:pStyle w:val="10"/>
        <w:spacing w:line="288" w:lineRule="auto"/>
        <w:ind w:left="0" w:firstLine="480" w:firstLineChars="200"/>
      </w:pPr>
      <w:r>
        <w:rPr>
          <w:rFonts w:hint="eastAsia"/>
        </w:rPr>
        <w:t>一、本项目不接受超过</w:t>
      </w:r>
      <w:r>
        <w:rPr>
          <w:rFonts w:hint="eastAsia"/>
          <w:highlight w:val="none"/>
          <w:lang w:val="en-US" w:eastAsia="zh-CN"/>
        </w:rPr>
        <w:t>8.7</w:t>
      </w:r>
      <w:r>
        <w:rPr>
          <w:highlight w:val="none"/>
        </w:rPr>
        <w:t>万</w:t>
      </w:r>
      <w:r>
        <w:rPr>
          <w:rFonts w:hint="eastAsia"/>
          <w:highlight w:val="none"/>
        </w:rPr>
        <w:t>元（</w:t>
      </w:r>
      <w:r>
        <w:rPr>
          <w:rFonts w:hint="eastAsia"/>
        </w:rPr>
        <w:t>人民币）（采购项目预算金额）的报价。报价包括但不限于产品价、税金、运费、服务、供应商的利润等全部费用。采购人不再支付报价以外的任何费用。</w:t>
      </w:r>
    </w:p>
    <w:p>
      <w:pPr>
        <w:pStyle w:val="10"/>
        <w:spacing w:line="288" w:lineRule="auto"/>
        <w:ind w:left="0" w:firstLine="480" w:firstLineChars="200"/>
      </w:pPr>
      <w:r>
        <w:rPr>
          <w:rFonts w:hint="eastAsia"/>
        </w:rPr>
        <w:t>二、工程概况</w:t>
      </w:r>
    </w:p>
    <w:p>
      <w:pPr>
        <w:pStyle w:val="10"/>
        <w:spacing w:line="288" w:lineRule="auto"/>
        <w:ind w:left="0" w:firstLine="480" w:firstLineChars="200"/>
      </w:pPr>
      <w:r>
        <w:rPr>
          <w:rFonts w:hint="eastAsia"/>
          <w:lang w:val="en-US" w:eastAsia="zh-CN"/>
        </w:rPr>
        <w:t>（一）</w:t>
      </w:r>
      <w:r>
        <w:rPr>
          <w:rFonts w:hint="eastAsia"/>
        </w:rPr>
        <w:t>项目名称：</w:t>
      </w:r>
      <w:r>
        <w:rPr>
          <w:rFonts w:hint="eastAsia"/>
          <w:lang w:eastAsia="zh-CN"/>
        </w:rPr>
        <w:t>学生宿舍用床改造项目</w:t>
      </w:r>
      <w:r>
        <w:rPr>
          <w:rFonts w:hint="eastAsia"/>
        </w:rPr>
        <w:t>；</w:t>
      </w:r>
    </w:p>
    <w:p>
      <w:pPr>
        <w:pStyle w:val="10"/>
        <w:spacing w:line="288" w:lineRule="auto"/>
        <w:ind w:left="0" w:firstLine="480" w:firstLineChars="200"/>
        <w:rPr>
          <w:rFonts w:hint="eastAsia" w:eastAsia="宋体"/>
          <w:lang w:eastAsia="zh-CN"/>
        </w:rPr>
      </w:pPr>
      <w:r>
        <w:rPr>
          <w:rFonts w:hint="eastAsia"/>
          <w:lang w:eastAsia="zh-CN"/>
        </w:rPr>
        <w:t>（</w:t>
      </w:r>
      <w:r>
        <w:rPr>
          <w:rFonts w:hint="eastAsia"/>
          <w:lang w:val="en-US" w:eastAsia="zh-CN"/>
        </w:rPr>
        <w:t>二</w:t>
      </w:r>
      <w:r>
        <w:rPr>
          <w:rFonts w:hint="eastAsia"/>
          <w:lang w:eastAsia="zh-CN"/>
        </w:rPr>
        <w:t>）</w:t>
      </w:r>
      <w:r>
        <w:rPr>
          <w:rFonts w:hint="eastAsia"/>
        </w:rPr>
        <w:t>项目地址：</w:t>
      </w:r>
      <w:r>
        <w:rPr>
          <w:rFonts w:hint="eastAsia"/>
          <w:lang w:eastAsia="zh-CN"/>
        </w:rPr>
        <w:t>徐州市泉山区西三环路297号</w:t>
      </w:r>
    </w:p>
    <w:p>
      <w:pPr>
        <w:pStyle w:val="10"/>
        <w:spacing w:line="288" w:lineRule="auto"/>
        <w:ind w:left="0" w:firstLine="480" w:firstLineChars="200"/>
        <w:rPr>
          <w:rFonts w:hint="eastAsia"/>
        </w:rPr>
      </w:pPr>
      <w:r>
        <w:rPr>
          <w:rFonts w:hint="eastAsia"/>
          <w:lang w:eastAsia="zh-CN"/>
        </w:rPr>
        <w:t>（</w:t>
      </w:r>
      <w:r>
        <w:rPr>
          <w:rFonts w:hint="eastAsia"/>
          <w:lang w:val="en-US" w:eastAsia="zh-CN"/>
        </w:rPr>
        <w:t>三</w:t>
      </w:r>
      <w:r>
        <w:rPr>
          <w:rFonts w:hint="eastAsia"/>
          <w:lang w:eastAsia="zh-CN"/>
        </w:rPr>
        <w:t>）</w:t>
      </w:r>
      <w:r>
        <w:rPr>
          <w:rFonts w:hint="eastAsia"/>
        </w:rPr>
        <w:t>项目概况：</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徐州生物工程职业技术学院泉山校区学生公寓需改造高度介于20cm~30cm之间的安全栏板约2719只（数量仅供参考，具体按实结算），需改造的安全栏板主要集中在本校区的不同楼栋（均无电梯），床的式样和尺寸（正常长度195cm左右）不统一，供应商中标后需自行上门查看、测量、统计、核实，最终确定新安全栏板的数量、尺寸及最终式样。</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原有安全栏板（床的护栏）样式有以下5种：</w:t>
      </w:r>
    </w:p>
    <w:p>
      <w:pPr>
        <w:tabs>
          <w:tab w:val="left" w:pos="1418"/>
        </w:tabs>
        <w:topLinePunct/>
        <w:spacing w:line="300" w:lineRule="auto"/>
        <w:ind w:firstLine="480" w:firstLineChars="200"/>
        <w:rPr>
          <w:rFonts w:ascii="仿宋" w:hAnsi="仿宋" w:eastAsia="仿宋"/>
          <w:sz w:val="32"/>
          <w:szCs w:val="32"/>
        </w:rPr>
      </w:pPr>
      <w:r>
        <w:drawing>
          <wp:anchor distT="0" distB="0" distL="114300" distR="114300" simplePos="0" relativeHeight="251664384" behindDoc="0" locked="0" layoutInCell="1" allowOverlap="1">
            <wp:simplePos x="0" y="0"/>
            <wp:positionH relativeFrom="column">
              <wp:posOffset>-48895</wp:posOffset>
            </wp:positionH>
            <wp:positionV relativeFrom="paragraph">
              <wp:posOffset>74930</wp:posOffset>
            </wp:positionV>
            <wp:extent cx="2691130" cy="2016760"/>
            <wp:effectExtent l="0" t="0" r="13970" b="2540"/>
            <wp:wrapNone/>
            <wp:docPr id="8" name="图片 1" descr="C:\Users\zlfeng\Desktop\微信图片_2023092710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zlfeng\Desktop\微信图片_20230927102940.jpg"/>
                    <pic:cNvPicPr>
                      <a:picLocks noChangeAspect="1"/>
                    </pic:cNvPicPr>
                  </pic:nvPicPr>
                  <pic:blipFill>
                    <a:blip r:embed="rId6"/>
                    <a:stretch>
                      <a:fillRect/>
                    </a:stretch>
                  </pic:blipFill>
                  <pic:spPr>
                    <a:xfrm>
                      <a:off x="0" y="0"/>
                      <a:ext cx="2691130" cy="201676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2800985</wp:posOffset>
            </wp:positionH>
            <wp:positionV relativeFrom="paragraph">
              <wp:posOffset>74930</wp:posOffset>
            </wp:positionV>
            <wp:extent cx="2646045" cy="1983105"/>
            <wp:effectExtent l="0" t="0" r="1905" b="17145"/>
            <wp:wrapNone/>
            <wp:docPr id="6" name="图片 3" descr="C:\Users\zlfeng\Desktop\微信图片_2023092710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zlfeng\Desktop\微信图片_20230927102946.jpg"/>
                    <pic:cNvPicPr>
                      <a:picLocks noChangeAspect="1"/>
                    </pic:cNvPicPr>
                  </pic:nvPicPr>
                  <pic:blipFill>
                    <a:blip r:embed="rId7"/>
                    <a:stretch>
                      <a:fillRect/>
                    </a:stretch>
                  </pic:blipFill>
                  <pic:spPr>
                    <a:xfrm>
                      <a:off x="0" y="0"/>
                      <a:ext cx="2646045" cy="1983105"/>
                    </a:xfrm>
                    <a:prstGeom prst="rect">
                      <a:avLst/>
                    </a:prstGeom>
                    <a:noFill/>
                    <a:ln>
                      <a:noFill/>
                    </a:ln>
                  </pic:spPr>
                </pic:pic>
              </a:graphicData>
            </a:graphic>
          </wp:anchor>
        </w:drawing>
      </w:r>
    </w:p>
    <w:p>
      <w:pPr>
        <w:tabs>
          <w:tab w:val="left" w:pos="1418"/>
        </w:tabs>
        <w:topLinePunct/>
        <w:spacing w:line="300" w:lineRule="auto"/>
        <w:ind w:firstLine="640" w:firstLineChars="200"/>
        <w:rPr>
          <w:rFonts w:ascii="仿宋" w:hAnsi="仿宋" w:eastAsia="仿宋"/>
          <w:sz w:val="32"/>
          <w:szCs w:val="32"/>
        </w:rPr>
      </w:pPr>
    </w:p>
    <w:p>
      <w:pPr>
        <w:tabs>
          <w:tab w:val="left" w:pos="1418"/>
        </w:tabs>
        <w:topLinePunct/>
        <w:spacing w:line="300" w:lineRule="auto"/>
        <w:ind w:firstLine="640" w:firstLineChars="200"/>
        <w:rPr>
          <w:rFonts w:ascii="仿宋" w:hAnsi="仿宋" w:eastAsia="仿宋"/>
          <w:sz w:val="32"/>
          <w:szCs w:val="32"/>
        </w:rPr>
      </w:pPr>
    </w:p>
    <w:p>
      <w:pPr>
        <w:tabs>
          <w:tab w:val="left" w:pos="1418"/>
        </w:tabs>
        <w:topLinePunct/>
        <w:spacing w:line="300" w:lineRule="auto"/>
        <w:ind w:firstLine="640" w:firstLineChars="200"/>
        <w:rPr>
          <w:rFonts w:ascii="仿宋" w:hAnsi="仿宋" w:eastAsia="仿宋"/>
          <w:sz w:val="32"/>
          <w:szCs w:val="32"/>
        </w:rPr>
      </w:pPr>
    </w:p>
    <w:p>
      <w:pPr>
        <w:tabs>
          <w:tab w:val="left" w:pos="1418"/>
        </w:tabs>
        <w:topLinePunct/>
        <w:spacing w:line="300" w:lineRule="auto"/>
        <w:ind w:firstLine="640" w:firstLineChars="200"/>
        <w:rPr>
          <w:rFonts w:ascii="仿宋" w:hAnsi="仿宋" w:eastAsia="仿宋"/>
          <w:sz w:val="32"/>
          <w:szCs w:val="32"/>
        </w:rPr>
      </w:pPr>
    </w:p>
    <w:p>
      <w:pPr>
        <w:tabs>
          <w:tab w:val="left" w:pos="1418"/>
        </w:tabs>
        <w:topLinePunct/>
        <w:spacing w:line="300" w:lineRule="auto"/>
        <w:ind w:firstLine="640" w:firstLineChars="200"/>
        <w:rPr>
          <w:rFonts w:ascii="仿宋" w:hAnsi="仿宋" w:eastAsia="仿宋"/>
          <w:sz w:val="32"/>
          <w:szCs w:val="32"/>
        </w:rPr>
      </w:pPr>
    </w:p>
    <w:p>
      <w:pPr>
        <w:tabs>
          <w:tab w:val="left" w:pos="1418"/>
        </w:tabs>
        <w:topLinePunct/>
        <w:spacing w:line="300" w:lineRule="auto"/>
        <w:jc w:val="center"/>
        <w:rPr>
          <w:rFonts w:ascii="仿宋" w:hAnsi="仿宋" w:eastAsia="仿宋"/>
          <w:b/>
          <w:sz w:val="28"/>
          <w:szCs w:val="28"/>
        </w:rPr>
      </w:pPr>
    </w:p>
    <w:p>
      <w:pPr>
        <w:tabs>
          <w:tab w:val="left" w:pos="1418"/>
        </w:tabs>
        <w:topLinePunct/>
        <w:spacing w:line="300" w:lineRule="auto"/>
        <w:jc w:val="center"/>
        <w:rPr>
          <w:rFonts w:ascii="仿宋" w:hAnsi="仿宋" w:eastAsia="仿宋"/>
          <w:b/>
          <w:sz w:val="28"/>
          <w:szCs w:val="28"/>
        </w:rPr>
      </w:pPr>
      <w:r>
        <w:rPr>
          <w:rFonts w:hint="eastAsia" w:ascii="仿宋" w:hAnsi="仿宋" w:eastAsia="仿宋"/>
          <w:b/>
          <w:sz w:val="28"/>
          <w:szCs w:val="28"/>
        </w:rPr>
        <w:t xml:space="preserve">1类：床体方管，护栏方管 </w:t>
      </w:r>
      <w:r>
        <w:rPr>
          <w:rFonts w:ascii="仿宋" w:hAnsi="仿宋" w:eastAsia="仿宋"/>
          <w:b/>
          <w:sz w:val="28"/>
          <w:szCs w:val="28"/>
        </w:rPr>
        <w:t xml:space="preserve">     </w:t>
      </w:r>
      <w:r>
        <w:rPr>
          <w:rFonts w:hint="eastAsia" w:ascii="仿宋" w:hAnsi="仿宋" w:eastAsia="仿宋"/>
          <w:b/>
          <w:sz w:val="28"/>
          <w:szCs w:val="28"/>
        </w:rPr>
        <w:t xml:space="preserve"> 2类：床体方管，护栏圆管</w:t>
      </w:r>
    </w:p>
    <w:p>
      <w:pPr>
        <w:tabs>
          <w:tab w:val="left" w:pos="1418"/>
        </w:tabs>
        <w:topLinePunct/>
        <w:spacing w:line="300" w:lineRule="auto"/>
        <w:rPr>
          <w:rFonts w:ascii="仿宋" w:hAnsi="仿宋" w:eastAsia="仿宋"/>
          <w:sz w:val="32"/>
          <w:szCs w:val="32"/>
        </w:rPr>
      </w:pPr>
      <w:r>
        <w:drawing>
          <wp:anchor distT="0" distB="0" distL="114300" distR="114300" simplePos="0" relativeHeight="251666432" behindDoc="0" locked="0" layoutInCell="1" allowOverlap="1">
            <wp:simplePos x="0" y="0"/>
            <wp:positionH relativeFrom="column">
              <wp:posOffset>4445</wp:posOffset>
            </wp:positionH>
            <wp:positionV relativeFrom="paragraph">
              <wp:posOffset>85090</wp:posOffset>
            </wp:positionV>
            <wp:extent cx="2706370" cy="2026920"/>
            <wp:effectExtent l="0" t="0" r="17780" b="11430"/>
            <wp:wrapNone/>
            <wp:docPr id="10" name="图片 4" descr="C:\Users\zlfeng\Desktop\微信图片_2023092710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C:\Users\zlfeng\Desktop\微信图片_20230927102951.jpg"/>
                    <pic:cNvPicPr>
                      <a:picLocks noChangeAspect="1"/>
                    </pic:cNvPicPr>
                  </pic:nvPicPr>
                  <pic:blipFill>
                    <a:blip r:embed="rId8"/>
                    <a:stretch>
                      <a:fillRect/>
                    </a:stretch>
                  </pic:blipFill>
                  <pic:spPr>
                    <a:xfrm>
                      <a:off x="0" y="0"/>
                      <a:ext cx="2706370" cy="2026920"/>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2776220</wp:posOffset>
            </wp:positionH>
            <wp:positionV relativeFrom="paragraph">
              <wp:posOffset>111125</wp:posOffset>
            </wp:positionV>
            <wp:extent cx="2670810" cy="2000885"/>
            <wp:effectExtent l="0" t="0" r="15240" b="18415"/>
            <wp:wrapNone/>
            <wp:docPr id="7" name="图片 6" descr="C:\Users\zlfeng\Desktop\微信图片_2023092710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zlfeng\Desktop\微信图片_20230927102936.jpg"/>
                    <pic:cNvPicPr>
                      <a:picLocks noChangeAspect="1"/>
                    </pic:cNvPicPr>
                  </pic:nvPicPr>
                  <pic:blipFill>
                    <a:blip r:embed="rId9"/>
                    <a:stretch>
                      <a:fillRect/>
                    </a:stretch>
                  </pic:blipFill>
                  <pic:spPr>
                    <a:xfrm>
                      <a:off x="0" y="0"/>
                      <a:ext cx="2670810" cy="2000885"/>
                    </a:xfrm>
                    <a:prstGeom prst="rect">
                      <a:avLst/>
                    </a:prstGeom>
                    <a:noFill/>
                    <a:ln>
                      <a:noFill/>
                    </a:ln>
                  </pic:spPr>
                </pic:pic>
              </a:graphicData>
            </a:graphic>
          </wp:anchor>
        </w:drawing>
      </w:r>
    </w:p>
    <w:p>
      <w:pPr>
        <w:tabs>
          <w:tab w:val="left" w:pos="1418"/>
        </w:tabs>
        <w:topLinePunct/>
        <w:spacing w:line="300" w:lineRule="auto"/>
        <w:ind w:firstLine="640" w:firstLineChars="200"/>
        <w:rPr>
          <w:rFonts w:ascii="仿宋" w:hAnsi="仿宋" w:eastAsia="仿宋"/>
          <w:sz w:val="32"/>
          <w:szCs w:val="32"/>
        </w:rPr>
      </w:pPr>
    </w:p>
    <w:p>
      <w:pPr>
        <w:tabs>
          <w:tab w:val="left" w:pos="1418"/>
        </w:tabs>
        <w:topLinePunct/>
        <w:spacing w:line="300" w:lineRule="auto"/>
        <w:ind w:firstLine="640" w:firstLineChars="200"/>
        <w:rPr>
          <w:rFonts w:ascii="仿宋" w:hAnsi="仿宋" w:eastAsia="仿宋"/>
          <w:sz w:val="32"/>
          <w:szCs w:val="32"/>
        </w:rPr>
      </w:pPr>
    </w:p>
    <w:p>
      <w:pPr>
        <w:tabs>
          <w:tab w:val="left" w:pos="1418"/>
        </w:tabs>
        <w:topLinePunct/>
        <w:spacing w:line="300" w:lineRule="auto"/>
        <w:ind w:firstLine="640" w:firstLineChars="200"/>
        <w:rPr>
          <w:rFonts w:ascii="仿宋" w:hAnsi="仿宋" w:eastAsia="仿宋"/>
          <w:sz w:val="32"/>
          <w:szCs w:val="32"/>
        </w:rPr>
      </w:pPr>
    </w:p>
    <w:p>
      <w:pPr>
        <w:tabs>
          <w:tab w:val="left" w:pos="1418"/>
        </w:tabs>
        <w:topLinePunct/>
        <w:spacing w:line="300" w:lineRule="auto"/>
        <w:ind w:firstLine="640" w:firstLineChars="200"/>
        <w:rPr>
          <w:rFonts w:ascii="仿宋" w:hAnsi="仿宋" w:eastAsia="仿宋"/>
          <w:sz w:val="32"/>
          <w:szCs w:val="32"/>
        </w:rPr>
      </w:pPr>
    </w:p>
    <w:p>
      <w:pPr>
        <w:tabs>
          <w:tab w:val="left" w:pos="1418"/>
        </w:tabs>
        <w:topLinePunct/>
        <w:spacing w:line="300" w:lineRule="auto"/>
        <w:ind w:firstLine="640" w:firstLineChars="200"/>
        <w:rPr>
          <w:rFonts w:ascii="仿宋" w:hAnsi="仿宋" w:eastAsia="仿宋"/>
          <w:sz w:val="32"/>
          <w:szCs w:val="32"/>
        </w:rPr>
      </w:pPr>
    </w:p>
    <w:p>
      <w:pPr>
        <w:tabs>
          <w:tab w:val="left" w:pos="1418"/>
        </w:tabs>
        <w:topLinePunct/>
        <w:spacing w:line="300" w:lineRule="auto"/>
        <w:ind w:firstLine="640" w:firstLineChars="200"/>
        <w:rPr>
          <w:rFonts w:ascii="仿宋" w:hAnsi="仿宋" w:eastAsia="仿宋"/>
          <w:sz w:val="32"/>
          <w:szCs w:val="32"/>
        </w:rPr>
      </w:pPr>
    </w:p>
    <w:p>
      <w:pPr>
        <w:tabs>
          <w:tab w:val="left" w:pos="1418"/>
        </w:tabs>
        <w:topLinePunct/>
        <w:spacing w:line="300" w:lineRule="auto"/>
        <w:jc w:val="center"/>
        <w:rPr>
          <w:rFonts w:ascii="仿宋" w:hAnsi="仿宋" w:eastAsia="仿宋"/>
          <w:b/>
          <w:sz w:val="28"/>
          <w:szCs w:val="28"/>
        </w:rPr>
      </w:pPr>
      <w:r>
        <w:rPr>
          <w:rFonts w:hint="eastAsia" w:ascii="仿宋" w:hAnsi="仿宋" w:eastAsia="仿宋"/>
          <w:b/>
          <w:sz w:val="28"/>
          <w:szCs w:val="28"/>
        </w:rPr>
        <w:t xml:space="preserve">3类：床体方管，护栏方管 </w:t>
      </w:r>
      <w:r>
        <w:rPr>
          <w:rFonts w:ascii="仿宋" w:hAnsi="仿宋" w:eastAsia="仿宋"/>
          <w:b/>
          <w:sz w:val="28"/>
          <w:szCs w:val="28"/>
        </w:rPr>
        <w:t xml:space="preserve">      4</w:t>
      </w:r>
      <w:r>
        <w:rPr>
          <w:rFonts w:hint="eastAsia" w:ascii="仿宋" w:hAnsi="仿宋" w:eastAsia="仿宋"/>
          <w:b/>
          <w:sz w:val="28"/>
          <w:szCs w:val="28"/>
        </w:rPr>
        <w:t>类：床体方管，护栏圆管</w:t>
      </w:r>
    </w:p>
    <w:p>
      <w:pPr>
        <w:tabs>
          <w:tab w:val="left" w:pos="1418"/>
        </w:tabs>
        <w:topLinePunct/>
        <w:spacing w:line="300" w:lineRule="auto"/>
        <w:rPr>
          <w:rFonts w:ascii="仿宋" w:hAnsi="仿宋" w:eastAsia="仿宋"/>
          <w:sz w:val="32"/>
          <w:szCs w:val="32"/>
        </w:rPr>
      </w:pPr>
    </w:p>
    <w:p>
      <w:pPr>
        <w:tabs>
          <w:tab w:val="left" w:pos="1418"/>
        </w:tabs>
        <w:topLinePunct/>
        <w:spacing w:line="300" w:lineRule="auto"/>
        <w:rPr>
          <w:rFonts w:ascii="仿宋" w:hAnsi="仿宋" w:eastAsia="仿宋"/>
          <w:sz w:val="32"/>
          <w:szCs w:val="32"/>
        </w:rPr>
      </w:pPr>
    </w:p>
    <w:p>
      <w:pPr>
        <w:pStyle w:val="2"/>
        <w:rPr>
          <w:lang w:val="en-US" w:eastAsia="zh-CN"/>
        </w:rPr>
      </w:pPr>
      <w:r>
        <w:rPr>
          <w:rFonts w:ascii="仿宋" w:hAnsi="仿宋" w:eastAsia="仿宋"/>
          <w:b/>
          <w:sz w:val="28"/>
          <w:szCs w:val="28"/>
        </w:rPr>
        <w:drawing>
          <wp:anchor distT="0" distB="0" distL="114300" distR="114300" simplePos="0" relativeHeight="251667456" behindDoc="0" locked="0" layoutInCell="1" allowOverlap="1">
            <wp:simplePos x="0" y="0"/>
            <wp:positionH relativeFrom="column">
              <wp:posOffset>-5715</wp:posOffset>
            </wp:positionH>
            <wp:positionV relativeFrom="paragraph">
              <wp:posOffset>205105</wp:posOffset>
            </wp:positionV>
            <wp:extent cx="5534025" cy="4147820"/>
            <wp:effectExtent l="0" t="0" r="9525" b="5080"/>
            <wp:wrapNone/>
            <wp:docPr id="9" name="图片 6" descr="C:\Users\zlfeng\Desktop\微信图片_2023092710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zlfeng\Desktop\微信图片_20230927102931.jpg"/>
                    <pic:cNvPicPr>
                      <a:picLocks noChangeAspect="1"/>
                    </pic:cNvPicPr>
                  </pic:nvPicPr>
                  <pic:blipFill>
                    <a:blip r:embed="rId10"/>
                    <a:stretch>
                      <a:fillRect/>
                    </a:stretch>
                  </pic:blipFill>
                  <pic:spPr>
                    <a:xfrm>
                      <a:off x="0" y="0"/>
                      <a:ext cx="5534025" cy="4147820"/>
                    </a:xfrm>
                    <a:prstGeom prst="rect">
                      <a:avLst/>
                    </a:prstGeom>
                    <a:noFill/>
                    <a:ln>
                      <a:noFill/>
                    </a:ln>
                  </pic:spPr>
                </pic:pic>
              </a:graphicData>
            </a:graphic>
          </wp:anchor>
        </w:drawing>
      </w:r>
    </w:p>
    <w:p>
      <w:pPr>
        <w:pStyle w:val="2"/>
        <w:rPr>
          <w:lang w:val="en-US" w:eastAsia="zh-CN"/>
        </w:rPr>
      </w:pPr>
    </w:p>
    <w:p>
      <w:pPr>
        <w:pStyle w:val="2"/>
        <w:rPr>
          <w:rFonts w:hint="eastAsia"/>
          <w:lang w:val="en-US" w:eastAsia="zh-CN"/>
        </w:rPr>
      </w:pPr>
    </w:p>
    <w:p>
      <w:pPr>
        <w:tabs>
          <w:tab w:val="left" w:pos="1418"/>
        </w:tabs>
        <w:topLinePunct/>
        <w:spacing w:line="300" w:lineRule="auto"/>
        <w:rPr>
          <w:rFonts w:ascii="仿宋" w:hAnsi="仿宋" w:eastAsia="仿宋"/>
          <w:sz w:val="32"/>
          <w:szCs w:val="32"/>
        </w:rPr>
      </w:pPr>
    </w:p>
    <w:p>
      <w:pPr>
        <w:tabs>
          <w:tab w:val="left" w:pos="1418"/>
        </w:tabs>
        <w:topLinePunct/>
        <w:spacing w:line="300" w:lineRule="auto"/>
        <w:rPr>
          <w:rFonts w:ascii="仿宋" w:hAnsi="仿宋" w:eastAsia="仿宋"/>
          <w:sz w:val="32"/>
          <w:szCs w:val="32"/>
        </w:rPr>
      </w:pPr>
    </w:p>
    <w:p>
      <w:pPr>
        <w:tabs>
          <w:tab w:val="left" w:pos="1418"/>
        </w:tabs>
        <w:topLinePunct/>
        <w:spacing w:line="300" w:lineRule="auto"/>
        <w:rPr>
          <w:rFonts w:ascii="仿宋" w:hAnsi="仿宋" w:eastAsia="仿宋"/>
          <w:sz w:val="32"/>
          <w:szCs w:val="32"/>
        </w:rPr>
      </w:pPr>
    </w:p>
    <w:p>
      <w:pPr>
        <w:tabs>
          <w:tab w:val="left" w:pos="1418"/>
        </w:tabs>
        <w:topLinePunct/>
        <w:spacing w:line="300" w:lineRule="auto"/>
        <w:rPr>
          <w:rFonts w:ascii="仿宋" w:hAnsi="仿宋" w:eastAsia="仿宋"/>
          <w:sz w:val="32"/>
          <w:szCs w:val="32"/>
        </w:rPr>
      </w:pPr>
    </w:p>
    <w:p>
      <w:pPr>
        <w:tabs>
          <w:tab w:val="left" w:pos="1418"/>
        </w:tabs>
        <w:topLinePunct/>
        <w:spacing w:line="300" w:lineRule="auto"/>
        <w:rPr>
          <w:rFonts w:ascii="仿宋" w:hAnsi="仿宋" w:eastAsia="仿宋"/>
          <w:sz w:val="32"/>
          <w:szCs w:val="32"/>
        </w:rPr>
      </w:pPr>
    </w:p>
    <w:p>
      <w:pPr>
        <w:tabs>
          <w:tab w:val="left" w:pos="1418"/>
        </w:tabs>
        <w:topLinePunct/>
        <w:spacing w:line="300" w:lineRule="auto"/>
        <w:rPr>
          <w:rFonts w:ascii="仿宋" w:hAnsi="仿宋" w:eastAsia="仿宋"/>
          <w:sz w:val="32"/>
          <w:szCs w:val="32"/>
        </w:rPr>
      </w:pPr>
    </w:p>
    <w:p>
      <w:pPr>
        <w:tabs>
          <w:tab w:val="left" w:pos="1418"/>
        </w:tabs>
        <w:topLinePunct/>
        <w:spacing w:line="300" w:lineRule="auto"/>
        <w:rPr>
          <w:rFonts w:ascii="仿宋" w:hAnsi="仿宋" w:eastAsia="仿宋"/>
          <w:sz w:val="32"/>
          <w:szCs w:val="32"/>
        </w:rPr>
      </w:pPr>
    </w:p>
    <w:p>
      <w:pPr>
        <w:tabs>
          <w:tab w:val="left" w:pos="1418"/>
        </w:tabs>
        <w:topLinePunct/>
        <w:spacing w:line="300" w:lineRule="auto"/>
        <w:rPr>
          <w:rFonts w:ascii="仿宋" w:hAnsi="仿宋" w:eastAsia="仿宋"/>
          <w:sz w:val="32"/>
          <w:szCs w:val="32"/>
        </w:rPr>
      </w:pPr>
    </w:p>
    <w:p>
      <w:pPr>
        <w:tabs>
          <w:tab w:val="left" w:pos="1418"/>
        </w:tabs>
        <w:topLinePunct/>
        <w:spacing w:line="300" w:lineRule="auto"/>
        <w:rPr>
          <w:rFonts w:ascii="仿宋" w:hAnsi="仿宋" w:eastAsia="仿宋"/>
          <w:sz w:val="32"/>
          <w:szCs w:val="32"/>
        </w:rPr>
      </w:pPr>
    </w:p>
    <w:p>
      <w:pPr>
        <w:tabs>
          <w:tab w:val="left" w:pos="1418"/>
        </w:tabs>
        <w:topLinePunct/>
        <w:spacing w:line="300" w:lineRule="auto"/>
        <w:ind w:firstLine="640" w:firstLineChars="200"/>
        <w:rPr>
          <w:rFonts w:ascii="仿宋" w:hAnsi="仿宋" w:eastAsia="仿宋"/>
          <w:sz w:val="32"/>
          <w:szCs w:val="32"/>
        </w:rPr>
      </w:pPr>
    </w:p>
    <w:p>
      <w:pPr>
        <w:tabs>
          <w:tab w:val="left" w:pos="1418"/>
        </w:tabs>
        <w:topLinePunct/>
        <w:spacing w:line="300" w:lineRule="auto"/>
        <w:jc w:val="center"/>
        <w:rPr>
          <w:rFonts w:ascii="仿宋" w:hAnsi="仿宋" w:eastAsia="仿宋"/>
          <w:b/>
          <w:sz w:val="28"/>
          <w:szCs w:val="28"/>
        </w:rPr>
      </w:pPr>
      <w:r>
        <w:rPr>
          <w:rFonts w:hint="eastAsia" w:ascii="仿宋" w:hAnsi="仿宋" w:eastAsia="仿宋"/>
          <w:b/>
          <w:sz w:val="28"/>
          <w:szCs w:val="28"/>
        </w:rPr>
        <w:t>5类：床体角钢，护栏圆管</w:t>
      </w:r>
    </w:p>
    <w:p>
      <w:pPr>
        <w:adjustRightInd w:val="0"/>
        <w:spacing w:line="300" w:lineRule="auto"/>
        <w:ind w:firstLine="480" w:firstLineChars="200"/>
        <w:jc w:val="center"/>
        <w:rPr>
          <w:rFonts w:hint="eastAsia" w:cs="宋体"/>
          <w:color w:val="000000"/>
          <w:szCs w:val="21"/>
        </w:rPr>
      </w:pPr>
      <w:r>
        <w:rPr>
          <w:rFonts w:hint="eastAsia"/>
        </w:rPr>
        <w:t xml:space="preserve">  </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第1、2类约为1600张、3类约为700张，第4、5各约200张左右。</w:t>
      </w:r>
    </w:p>
    <w:p>
      <w:pPr>
        <w:adjustRightInd w:val="0"/>
        <w:spacing w:line="300" w:lineRule="auto"/>
        <w:ind w:firstLine="480" w:firstLineChars="200"/>
        <w:rPr>
          <w:rFonts w:hint="eastAsia" w:ascii="Times New Roman" w:hAnsi="Times New Roman" w:eastAsia="宋体" w:cs="Times New Roman"/>
          <w:sz w:val="24"/>
          <w:szCs w:val="20"/>
          <w:lang w:val="zh-CN" w:eastAsia="zh-CN" w:bidi="ar-SA"/>
        </w:rPr>
      </w:pPr>
      <w:r>
        <w:rPr>
          <w:rFonts w:hint="eastAsia" w:ascii="Times New Roman" w:hAnsi="Times New Roman" w:eastAsia="宋体" w:cs="Times New Roman"/>
          <w:sz w:val="24"/>
          <w:szCs w:val="20"/>
          <w:lang w:val="zh-CN" w:eastAsia="zh-CN" w:bidi="ar-SA"/>
        </w:rPr>
        <w:t>注：（1）基于床的现有条件，无法使用机械打孔，只能人工操作，报价何施工时需考虑此因素；（2）数量仅供参考，具体数量按实结算，投标人针对所投包范围内的所有服务内容执行统一报价，单价最高限价</w:t>
      </w:r>
      <w:r>
        <w:rPr>
          <w:rFonts w:hint="eastAsia" w:ascii="Times New Roman" w:hAnsi="Times New Roman" w:eastAsia="宋体" w:cs="Times New Roman"/>
          <w:sz w:val="24"/>
          <w:szCs w:val="20"/>
          <w:lang w:val="en-US" w:eastAsia="zh-CN" w:bidi="ar-SA"/>
        </w:rPr>
        <w:t>32元/只</w:t>
      </w:r>
      <w:r>
        <w:rPr>
          <w:rFonts w:hint="eastAsia" w:ascii="Times New Roman" w:hAnsi="Times New Roman" w:eastAsia="宋体" w:cs="Times New Roman"/>
          <w:sz w:val="24"/>
          <w:szCs w:val="20"/>
          <w:lang w:val="zh-CN" w:eastAsia="zh-CN" w:bidi="ar-SA"/>
        </w:rPr>
        <w:t>。</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cs="Times New Roman"/>
          <w:sz w:val="24"/>
          <w:szCs w:val="20"/>
          <w:lang w:val="en-US" w:eastAsia="zh-CN" w:bidi="ar-SA"/>
        </w:rPr>
        <w:t>（四）</w:t>
      </w:r>
      <w:r>
        <w:rPr>
          <w:rFonts w:hint="eastAsia" w:ascii="Times New Roman" w:hAnsi="Times New Roman" w:eastAsia="宋体" w:cs="Times New Roman"/>
          <w:sz w:val="24"/>
          <w:szCs w:val="20"/>
          <w:lang w:val="en-US" w:eastAsia="zh-CN" w:bidi="ar-SA"/>
        </w:rPr>
        <w:t>整改要求</w:t>
      </w:r>
    </w:p>
    <w:p>
      <w:pPr>
        <w:adjustRightInd w:val="0"/>
        <w:spacing w:line="300" w:lineRule="auto"/>
        <w:ind w:firstLine="480" w:firstLineChars="200"/>
        <w:rPr>
          <w:rFonts w:hint="eastAsia" w:ascii="Times New Roman" w:hAnsi="Times New Roman" w:eastAsia="宋体" w:cs="Times New Roman"/>
          <w:sz w:val="24"/>
          <w:szCs w:val="20"/>
          <w:lang w:val="zh-CN" w:eastAsia="zh-CN" w:bidi="ar-SA"/>
        </w:rPr>
      </w:pPr>
      <w:r>
        <w:rPr>
          <w:rFonts w:hint="eastAsia" w:ascii="Times New Roman" w:hAnsi="Times New Roman" w:eastAsia="宋体" w:cs="Times New Roman"/>
          <w:sz w:val="24"/>
          <w:szCs w:val="20"/>
          <w:lang w:val="en-US" w:eastAsia="zh-CN" w:bidi="ar-SA"/>
        </w:rPr>
        <w:t>保留原有安全栏板，加装新的安全栏板，新安全栏板采用30×20mm×1.2mm镀锌方管，两端折弯，中间2根竖档，</w:t>
      </w:r>
      <w:r>
        <w:rPr>
          <w:rFonts w:hint="eastAsia" w:ascii="Times New Roman" w:hAnsi="Times New Roman" w:eastAsia="宋体" w:cs="Times New Roman"/>
          <w:sz w:val="24"/>
          <w:szCs w:val="20"/>
          <w:lang w:val="zh-CN" w:eastAsia="zh-CN" w:bidi="ar-SA"/>
        </w:rPr>
        <w:t>相邻竖档的净空间隙≤300mm，与原有安全栏板接触部分</w:t>
      </w:r>
      <w:r>
        <w:rPr>
          <w:rFonts w:hint="eastAsia" w:ascii="Times New Roman" w:hAnsi="Times New Roman" w:eastAsia="宋体" w:cs="Times New Roman"/>
          <w:sz w:val="24"/>
          <w:szCs w:val="20"/>
          <w:lang w:val="en-US" w:eastAsia="zh-CN" w:bidi="ar-SA"/>
        </w:rPr>
        <w:t>5着力点与床边框外连接，用M8×70的螺丝固定，安全栏板的顶边与床铺面上表面的距离≥300mm。</w:t>
      </w:r>
    </w:p>
    <w:p>
      <w:pPr>
        <w:adjustRightInd w:val="0"/>
        <w:spacing w:line="300" w:lineRule="auto"/>
        <w:ind w:firstLine="504" w:firstLineChars="200"/>
        <w:jc w:val="center"/>
        <w:rPr>
          <w:rFonts w:cs="宋体"/>
          <w:color w:val="000000"/>
          <w:spacing w:val="6"/>
          <w:kern w:val="0"/>
          <w:szCs w:val="21"/>
          <w:lang w:val="zh-CN" w:bidi="zh-CN"/>
        </w:rPr>
      </w:pPr>
    </w:p>
    <w:p>
      <w:pPr>
        <w:tabs>
          <w:tab w:val="left" w:pos="1418"/>
        </w:tabs>
        <w:topLinePunct/>
        <w:spacing w:line="300" w:lineRule="auto"/>
        <w:jc w:val="center"/>
        <w:rPr>
          <w:rFonts w:hint="eastAsia" w:ascii="仿宋" w:hAnsi="仿宋" w:eastAsia="仿宋"/>
          <w:b/>
          <w:sz w:val="28"/>
          <w:szCs w:val="28"/>
        </w:rPr>
      </w:pPr>
      <w:r>
        <w:rPr>
          <w:rFonts w:hint="eastAsia" w:ascii="仿宋" w:hAnsi="仿宋" w:eastAsia="仿宋"/>
          <w:b/>
          <w:sz w:val="28"/>
          <w:szCs w:val="28"/>
        </w:rPr>
        <w:t>改造后安全栏板示意图</w:t>
      </w:r>
    </w:p>
    <w:p>
      <w:pPr>
        <w:pStyle w:val="2"/>
        <w:spacing w:after="0" w:line="300" w:lineRule="auto"/>
        <w:ind w:left="0" w:leftChars="0"/>
        <w:jc w:val="center"/>
        <w:rPr>
          <w:rFonts w:hint="eastAsia"/>
          <w:lang w:val="zh-CN" w:bidi="zh-CN"/>
        </w:rPr>
      </w:pPr>
    </w:p>
    <w:p>
      <w:pPr>
        <w:pStyle w:val="2"/>
        <w:spacing w:after="0" w:line="300" w:lineRule="auto"/>
        <w:ind w:left="0" w:leftChars="0"/>
        <w:jc w:val="center"/>
        <w:rPr>
          <w:lang w:val="zh-CN" w:bidi="zh-CN"/>
        </w:rPr>
      </w:pPr>
      <w:r>
        <w:rPr>
          <w:lang w:val="zh-CN" w:bidi="zh-CN"/>
        </w:rPr>
        <w:drawing>
          <wp:inline distT="0" distB="0" distL="114300" distR="114300">
            <wp:extent cx="5537200" cy="4152900"/>
            <wp:effectExtent l="0" t="0" r="6350" b="0"/>
            <wp:docPr id="12" name="图片 1" descr="微信图片_2023101615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微信图片_20231016151332"/>
                    <pic:cNvPicPr>
                      <a:picLocks noChangeAspect="1"/>
                    </pic:cNvPicPr>
                  </pic:nvPicPr>
                  <pic:blipFill>
                    <a:blip r:embed="rId11"/>
                    <a:stretch>
                      <a:fillRect/>
                    </a:stretch>
                  </pic:blipFill>
                  <pic:spPr>
                    <a:xfrm>
                      <a:off x="0" y="0"/>
                      <a:ext cx="5537200" cy="4152900"/>
                    </a:xfrm>
                    <a:prstGeom prst="rect">
                      <a:avLst/>
                    </a:prstGeom>
                    <a:noFill/>
                    <a:ln>
                      <a:noFill/>
                    </a:ln>
                  </pic:spPr>
                </pic:pic>
              </a:graphicData>
            </a:graphic>
          </wp:inline>
        </w:drawing>
      </w:r>
    </w:p>
    <w:p>
      <w:pPr>
        <w:adjustRightInd w:val="0"/>
        <w:spacing w:line="300" w:lineRule="auto"/>
        <w:jc w:val="center"/>
        <w:rPr>
          <w:rFonts w:hint="eastAsia" w:cs="宋体"/>
          <w:color w:val="000000"/>
          <w:spacing w:val="6"/>
          <w:kern w:val="0"/>
          <w:szCs w:val="21"/>
          <w:lang w:val="zh-CN" w:bidi="zh-CN"/>
        </w:rPr>
      </w:pPr>
    </w:p>
    <w:p>
      <w:pPr>
        <w:pStyle w:val="2"/>
        <w:spacing w:after="0" w:line="300" w:lineRule="auto"/>
        <w:ind w:left="0" w:leftChars="0"/>
        <w:jc w:val="center"/>
        <w:rPr>
          <w:rFonts w:hint="eastAsia"/>
        </w:rPr>
      </w:pPr>
      <w:r>
        <w:rPr>
          <w:rFonts w:hint="eastAsia"/>
        </w:rPr>
        <w:drawing>
          <wp:inline distT="0" distB="0" distL="114300" distR="114300">
            <wp:extent cx="5537200" cy="4152900"/>
            <wp:effectExtent l="0" t="0" r="6350" b="0"/>
            <wp:docPr id="11" name="图片 2" descr="微信图片_2023101615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微信图片_20231016151340"/>
                    <pic:cNvPicPr>
                      <a:picLocks noChangeAspect="1"/>
                    </pic:cNvPicPr>
                  </pic:nvPicPr>
                  <pic:blipFill>
                    <a:blip r:embed="rId12"/>
                    <a:stretch>
                      <a:fillRect/>
                    </a:stretch>
                  </pic:blipFill>
                  <pic:spPr>
                    <a:xfrm>
                      <a:off x="0" y="0"/>
                      <a:ext cx="5537200" cy="4152900"/>
                    </a:xfrm>
                    <a:prstGeom prst="rect">
                      <a:avLst/>
                    </a:prstGeom>
                    <a:noFill/>
                    <a:ln>
                      <a:noFill/>
                    </a:ln>
                  </pic:spPr>
                </pic:pic>
              </a:graphicData>
            </a:graphic>
          </wp:inline>
        </w:drawing>
      </w:r>
    </w:p>
    <w:p>
      <w:pPr>
        <w:pStyle w:val="2"/>
        <w:spacing w:after="0" w:line="300" w:lineRule="auto"/>
        <w:ind w:left="0" w:leftChars="0"/>
        <w:jc w:val="center"/>
        <w:rPr>
          <w:rFonts w:hint="eastAsia"/>
          <w:lang w:val="zh-CN" w:bidi="zh-CN"/>
        </w:rPr>
      </w:pPr>
    </w:p>
    <w:p>
      <w:pPr>
        <w:adjustRightInd w:val="0"/>
        <w:spacing w:line="300" w:lineRule="auto"/>
        <w:ind w:firstLine="562" w:firstLineChars="200"/>
        <w:jc w:val="left"/>
        <w:rPr>
          <w:rFonts w:ascii="仿宋" w:hAnsi="仿宋" w:eastAsia="仿宋" w:cs="宋体"/>
          <w:b/>
          <w:iCs/>
          <w:color w:val="000000"/>
          <w:kern w:val="0"/>
          <w:sz w:val="28"/>
          <w:szCs w:val="28"/>
          <w:lang w:val="zh-CN" w:bidi="zh-CN"/>
        </w:rPr>
      </w:pPr>
      <w:r>
        <w:rPr>
          <w:rFonts w:hint="eastAsia" w:ascii="仿宋" w:hAnsi="仿宋" w:eastAsia="仿宋" w:cs="宋体"/>
          <w:b/>
          <w:iCs/>
          <w:color w:val="000000"/>
          <w:kern w:val="0"/>
          <w:sz w:val="28"/>
          <w:szCs w:val="28"/>
          <w:lang w:val="zh-CN" w:bidi="zh-CN"/>
        </w:rPr>
        <w:t>注：根据床的式样及尺寸最终确定新安全栏的式样和尺寸。</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（五）技术要求</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zh-CN" w:eastAsia="zh-CN" w:bidi="ar-SA"/>
        </w:rPr>
        <w:t>1.新安全栏板管材符合GB/T3325-2017标准且壁厚不小于1.2mm，</w:t>
      </w:r>
      <w:r>
        <w:rPr>
          <w:rFonts w:hint="eastAsia" w:ascii="Times New Roman" w:hAnsi="Times New Roman" w:eastAsia="宋体" w:cs="Times New Roman"/>
          <w:sz w:val="24"/>
          <w:szCs w:val="20"/>
          <w:lang w:val="en-US" w:eastAsia="zh-CN" w:bidi="ar-SA"/>
        </w:rPr>
        <w:t>表面喷涂材料符合GB18581-2009、GB/T9286-1998、GB/T1732-1993、GB/T1771-2007标准，螺丝符合GB/T3098.1-2010、GB/T2287-2002、GB/T1231-2006标准。</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2.</w:t>
      </w:r>
      <w:r>
        <w:rPr>
          <w:rFonts w:hint="eastAsia" w:ascii="Times New Roman" w:hAnsi="Times New Roman" w:eastAsia="宋体" w:cs="Times New Roman"/>
          <w:sz w:val="24"/>
          <w:szCs w:val="20"/>
          <w:lang w:val="zh-CN" w:eastAsia="zh-CN" w:bidi="ar-SA"/>
        </w:rPr>
        <w:t>新</w:t>
      </w:r>
      <w:r>
        <w:rPr>
          <w:rFonts w:hint="eastAsia" w:ascii="Times New Roman" w:hAnsi="Times New Roman" w:eastAsia="宋体" w:cs="Times New Roman"/>
          <w:sz w:val="24"/>
          <w:szCs w:val="20"/>
          <w:lang w:val="en-US" w:eastAsia="zh-CN" w:bidi="ar-SA"/>
        </w:rPr>
        <w:t>安全栏板钢材均采用国家标准钢，高频焊接，各钢件经除锈、酸洗、磷化等工序，经防锈处理，外层采用聚酯环氧粉末喷塑，焊接表面波纹均匀，焊接处无夹渣、气孔、焊瘤、焊丝头咬边飞溅，并保证无脱焊、虚焊及焊穿等现象。安全栏板的实际安装颜色与学生用床同色。</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3.</w:t>
      </w:r>
      <w:r>
        <w:rPr>
          <w:rFonts w:hint="eastAsia" w:ascii="Times New Roman" w:hAnsi="Times New Roman" w:eastAsia="宋体" w:cs="Times New Roman"/>
          <w:sz w:val="24"/>
          <w:szCs w:val="20"/>
          <w:lang w:val="zh-CN" w:eastAsia="zh-CN" w:bidi="ar-SA"/>
        </w:rPr>
        <w:t>新</w:t>
      </w:r>
      <w:r>
        <w:rPr>
          <w:rFonts w:hint="eastAsia" w:ascii="Times New Roman" w:hAnsi="Times New Roman" w:eastAsia="宋体" w:cs="Times New Roman"/>
          <w:sz w:val="24"/>
          <w:szCs w:val="20"/>
          <w:lang w:val="en-US" w:eastAsia="zh-CN" w:bidi="ar-SA"/>
        </w:rPr>
        <w:t>安全栏板无毛刺、棱角以及对有可能产生安全隐患的弊端，与床体连接可靠、安全牢固、不易拆卸，且颜色与原有安全栏板一致。</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4.</w:t>
      </w:r>
      <w:r>
        <w:rPr>
          <w:rFonts w:hint="eastAsia" w:ascii="Times New Roman" w:hAnsi="Times New Roman" w:eastAsia="宋体" w:cs="Times New Roman"/>
          <w:sz w:val="24"/>
          <w:szCs w:val="20"/>
          <w:lang w:val="zh-CN" w:eastAsia="zh-CN" w:bidi="ar-SA"/>
        </w:rPr>
        <w:t>新</w:t>
      </w:r>
      <w:r>
        <w:rPr>
          <w:rFonts w:hint="eastAsia" w:ascii="Times New Roman" w:hAnsi="Times New Roman" w:eastAsia="宋体" w:cs="Times New Roman"/>
          <w:sz w:val="24"/>
          <w:szCs w:val="20"/>
          <w:lang w:val="en-US" w:eastAsia="zh-CN" w:bidi="ar-SA"/>
        </w:rPr>
        <w:t>安全栏板要求符合（GB24430.1-2009）《家用双层床安全》、（GB/T3328-2016）《家具床类主要尺寸》、QB/T1951.2-2013《金属家具质量检验及质量评定》、GB/6807-2001《钢铁工件涂装前磷化处理技术条件》等国家规定的环保、安全标准。</w:t>
      </w:r>
    </w:p>
    <w:p>
      <w:pPr>
        <w:adjustRightInd w:val="0"/>
        <w:spacing w:line="300" w:lineRule="auto"/>
        <w:ind w:firstLine="480" w:firstLineChars="200"/>
        <w:rPr>
          <w:rFonts w:hint="eastAsia" w:ascii="Times New Roman" w:hAnsi="Times New Roman" w:eastAsia="宋体" w:cs="Times New Roman"/>
          <w:sz w:val="24"/>
          <w:szCs w:val="20"/>
          <w:lang w:val="zh-CN" w:eastAsia="zh-CN" w:bidi="ar-SA"/>
        </w:rPr>
      </w:pPr>
      <w:r>
        <w:rPr>
          <w:rFonts w:hint="eastAsia" w:ascii="Times New Roman" w:hAnsi="Times New Roman" w:eastAsia="宋体" w:cs="Times New Roman"/>
          <w:sz w:val="24"/>
          <w:szCs w:val="20"/>
          <w:lang w:val="zh-CN" w:eastAsia="zh-CN" w:bidi="ar-SA"/>
        </w:rPr>
        <w:t>5.要求在新安全栏板上标出安全警示线（蓝色），即限制床褥最大厚度的永久性标记线，安全警示线到安全栏板顶边的距离≥200mm（误差±5mm）。</w:t>
      </w:r>
    </w:p>
    <w:p>
      <w:pPr>
        <w:adjustRightInd w:val="0"/>
        <w:spacing w:line="300" w:lineRule="auto"/>
        <w:ind w:firstLine="480" w:firstLineChars="200"/>
        <w:rPr>
          <w:rFonts w:hint="eastAsia" w:ascii="Times New Roman" w:hAnsi="Times New Roman" w:eastAsia="宋体" w:cs="Times New Roman"/>
          <w:sz w:val="24"/>
          <w:szCs w:val="20"/>
          <w:lang w:val="zh-CN" w:eastAsia="zh-CN" w:bidi="ar-SA"/>
        </w:rPr>
      </w:pPr>
      <w:r>
        <w:rPr>
          <w:rFonts w:hint="eastAsia" w:ascii="Times New Roman" w:hAnsi="Times New Roman" w:eastAsia="宋体" w:cs="Times New Roman"/>
          <w:sz w:val="24"/>
          <w:szCs w:val="20"/>
          <w:lang w:val="zh-CN" w:eastAsia="zh-CN" w:bidi="ar-SA"/>
        </w:rPr>
        <w:t>6.正常床的长度195cm左右，新安全栏板的长度可根据床的尺寸进行微调，新安全栏板的缺口长度分别为595mm（此缺口长度固定不变）和60mm（此缺口长度可根据床的尺寸微调，但最长不得超过130mm，如床加长至220cm左右，则需考虑增加1根竖档）（误差±5mm）。</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（六）其他要求</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1.完成时间</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要求在工期内安装、整改完毕，投标人应提供针对上述内容的承诺函（原件，格式自拟，承诺内容应符合招标要求，不提供或未按要求提供均视为无效投标）</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项目实施期间学生在校正常学习、生活，施工不得影响学生正常的学习、生活秩序，投标人应按照招标需求合理安排时间，制定科学、合理、有针对性的项目实施方案总体部署及文明施工、安全施工方案。</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2.整改地点</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采购人指定地点（指定学生宿舍、指定位置）。</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3.报价要求</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本项目为固定单价合同，按实结算。投标报价应包括但不仅限于提供安全栏板及其制作、运输、安装、调试等所有含税费用（单价为不同式样、尺寸安全栏板的均价），投标报价还包含中标人应当提供的售后服务费用。</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4.质保期</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本项目质保期（免费保修期）四年（自验收合格之日起计）。</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在质保期内，中标人应对安全栏板出现的质量及安全问题负责处理解决并承担一切费用，因人为因素出现的故障不在免费保修范围内。超过质保期的，终生维修，维修时只收部件成本费。</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5.质量保证及售后服务</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（1）中标人应按招标文件规定承诺的安全栏板性能、技术要求、质量标准向采购人提供未经使用的、符合相应标准的全新产品。</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2）中标人应保证其提供的货物在正确安装、正常使用和保养条件下，在其使用寿命内具有良好的性能。验收后，在质量保证期内，中标人应对由于设计、工艺或材料的缺陷所发生的任何不足或故障负责，所需费用由中标人承担。</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（3）在质保期内因安全栏板本身的质量问题发生故障，中标人应负责免费更换。</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6.验收方式</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1）中标人将安全栏板送到采购人指定地点后，采购人组织初验收，采购人对货物依据招标文件上的技术规格要求和国家有关质量标准进行现场初步验收（采购人多部门联合随机抽查并测量壁厚）。符合招标文件技术要求的，给予签收，中标人方可安装、整改，初步验收不合格的不予签收。</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（2）中标人按照招标文件要求将所有安全栏板的整改完毕，使用一段时间后采购人组织最终验收。</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最终验收时，中标人需提供由国家认可的、有效的第三方检测机构出具的，带有“CMA”或“CNAS”标识的原材料检测合格报告，检测内容至少包括所供货物中的钢管、冷轧钢板、粉末，检测结果应符合国家规范、招标要求和投标承诺。中标人如为代理制造商，还需提供制造商的授权委托书。检测费用由中标人承担。</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3）如采购人需要，采购人可请国家认可的专业检测机构参与最终验收，并由其出具质量检测报告。验收时采购人和中标人均须在现场，验收完毕后作出验收报告；若聘请第三方中立机构验收，验收费用由采购人和中标人协商解决。</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7.文明施工及安全责任</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1）项目实施期间，中标人工作人员需文明施工，遵守学校各项规章制度，进入项目现场的车辆、设备按指定的地点停放，不得妨碍其它施工和阻碍交通，不得妨碍正常教学、生活秩序。项目结束后，及时清理现场，墙面、门窗如有损坏需恢复原状。</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 xml:space="preserve">（2）项目实施期间，如发生安全事故、人身伤害和其它财产安全事故，由中标人全权负责处理，赔偿经济损失，并承担全部责任（提供书面承诺，格式自拟，原件，不提供或未按要求提供均视为无效投标）。 </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t>（3）在质保期内，如因质量问题导致人身伤害，由中标人全权负责处理，并承担全部责任（提供书面承诺，格式自拟，原件，不提供或未按要求提供均视为无效投标）。</w:t>
      </w: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p>
    <w:p>
      <w:pPr>
        <w:adjustRightInd w:val="0"/>
        <w:spacing w:line="300" w:lineRule="auto"/>
        <w:ind w:firstLine="480" w:firstLineChars="200"/>
        <w:rPr>
          <w:rFonts w:hint="eastAsia" w:ascii="Times New Roman" w:hAnsi="Times New Roman" w:eastAsia="宋体" w:cs="Times New Roman"/>
          <w:sz w:val="24"/>
          <w:szCs w:val="20"/>
          <w:lang w:val="en-US" w:eastAsia="zh-CN" w:bidi="ar-SA"/>
        </w:rPr>
      </w:pPr>
      <w:r>
        <w:rPr>
          <w:rFonts w:hint="eastAsia" w:ascii="Times New Roman" w:hAnsi="Times New Roman" w:eastAsia="宋体" w:cs="Times New Roman"/>
          <w:sz w:val="24"/>
          <w:szCs w:val="20"/>
          <w:lang w:val="en-US" w:eastAsia="zh-CN" w:bidi="ar-SA"/>
        </w:rPr>
        <w:br w:type="page"/>
      </w:r>
    </w:p>
    <w:p>
      <w:pPr>
        <w:pStyle w:val="4"/>
        <w:rPr>
          <w:rFonts w:cs="仿宋_GB2312"/>
        </w:rPr>
      </w:pPr>
      <w:r>
        <w:rPr>
          <w:rFonts w:hint="eastAsia"/>
        </w:rPr>
        <w:t>2、承诺书</w:t>
      </w:r>
    </w:p>
    <w:p>
      <w:pPr>
        <w:adjustRightInd w:val="0"/>
        <w:snapToGrid w:val="0"/>
        <w:rPr>
          <w:rFonts w:cs="仿宋_GB2312"/>
        </w:rPr>
      </w:pPr>
      <w:r>
        <w:rPr>
          <w:rFonts w:hint="eastAsia" w:cs="仿宋_GB2312"/>
        </w:rPr>
        <w:t>致</w:t>
      </w:r>
      <w:r>
        <w:rPr>
          <w:rFonts w:hint="eastAsia" w:cs="仿宋_GB2312"/>
          <w:u w:val="single"/>
        </w:rPr>
        <w:t>徐州生物工程职业技术学院</w:t>
      </w:r>
      <w:r>
        <w:rPr>
          <w:rFonts w:hint="eastAsia" w:cs="仿宋_GB2312"/>
        </w:rPr>
        <w:t>：</w:t>
      </w:r>
    </w:p>
    <w:p>
      <w:pPr>
        <w:adjustRightInd w:val="0"/>
        <w:snapToGrid w:val="0"/>
        <w:ind w:right="34" w:rightChars="14"/>
        <w:rPr>
          <w:rFonts w:cs="仿宋_GB2312"/>
        </w:rPr>
      </w:pPr>
    </w:p>
    <w:p>
      <w:pPr>
        <w:pStyle w:val="11"/>
        <w:ind w:firstLine="480" w:firstLineChars="200"/>
        <w:rPr>
          <w:sz w:val="24"/>
        </w:rPr>
      </w:pPr>
      <w:r>
        <w:rPr>
          <w:rFonts w:hint="eastAsia"/>
          <w:sz w:val="24"/>
        </w:rPr>
        <w:t>根据贵方《</w:t>
      </w:r>
      <w:r>
        <w:rPr>
          <w:rFonts w:hint="eastAsia"/>
          <w:bCs/>
          <w:sz w:val="24"/>
        </w:rPr>
        <w:t>谈判文件</w:t>
      </w:r>
      <w:r>
        <w:rPr>
          <w:rFonts w:hint="eastAsia"/>
          <w:sz w:val="24"/>
        </w:rPr>
        <w:t>》（项目编号：</w:t>
      </w:r>
      <w:r>
        <w:rPr>
          <w:rFonts w:hint="eastAsia"/>
          <w:sz w:val="24"/>
          <w:lang w:eastAsia="zh-CN"/>
        </w:rPr>
        <w:t>徐生采（2023）xzsw1102</w:t>
      </w:r>
      <w:r>
        <w:rPr>
          <w:rFonts w:hint="eastAsia"/>
          <w:sz w:val="24"/>
        </w:rPr>
        <w:t>号）要求，本供应商正式提交以下首次响应文件。</w:t>
      </w:r>
    </w:p>
    <w:p>
      <w:pPr>
        <w:pStyle w:val="11"/>
        <w:ind w:firstLine="480"/>
        <w:rPr>
          <w:sz w:val="24"/>
        </w:rPr>
      </w:pPr>
      <w:r>
        <w:rPr>
          <w:sz w:val="24"/>
        </w:rPr>
        <mc:AlternateContent>
          <mc:Choice Requires="wps">
            <w:drawing>
              <wp:anchor distT="0" distB="0" distL="114300" distR="114300" simplePos="0" relativeHeight="251659264" behindDoc="0" locked="0" layoutInCell="0" allowOverlap="1">
                <wp:simplePos x="0" y="0"/>
                <wp:positionH relativeFrom="column">
                  <wp:posOffset>1866900</wp:posOffset>
                </wp:positionH>
                <wp:positionV relativeFrom="paragraph">
                  <wp:posOffset>16510</wp:posOffset>
                </wp:positionV>
                <wp:extent cx="0" cy="16510"/>
                <wp:effectExtent l="4445" t="0" r="10795" b="6350"/>
                <wp:wrapNone/>
                <wp:docPr id="3" name="直接连接符 3"/>
                <wp:cNvGraphicFramePr/>
                <a:graphic xmlns:a="http://schemas.openxmlformats.org/drawingml/2006/main">
                  <a:graphicData uri="http://schemas.microsoft.com/office/word/2010/wordprocessingShape">
                    <wps:wsp>
                      <wps:cNvCnPr/>
                      <wps:spPr>
                        <a:xfrm flipV="1">
                          <a:off x="0" y="0"/>
                          <a:ext cx="0" cy="1651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147pt;margin-top:1.3pt;height:1.3pt;width:0pt;z-index:251659264;mso-width-relative:page;mso-height-relative:page;" filled="f" stroked="t" coordsize="21600,21600" o:allowincell="f" o:gfxdata="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h2OFf1AAAAAcBAAAPAAAAAAAAAAEAIAAAACIAAABkcnMvZG93bnJldi54bWxQSwECFAAUAAAA&#10;CACHTuJA82SotvIBAADgAwAADgAAAAAAAAABACAAAAAjAQAAZHJzL2Uyb0RvYy54bWxQSwUGAAAA&#10;AAYABgBZAQAAhwUAAAAA&#10;">
                <v:fill on="f" focussize="0,0"/>
                <v:stroke color="#000000" joinstyle="round"/>
                <v:imagedata o:title=""/>
                <o:lock v:ext="edit" aspectratio="f"/>
              </v:line>
            </w:pict>
          </mc:Fallback>
        </mc:AlternateContent>
      </w:r>
      <w:r>
        <w:rPr>
          <w:rFonts w:hint="eastAsia"/>
          <w:sz w:val="24"/>
        </w:rPr>
        <w:t xml:space="preserve">（1）承诺书； </w:t>
      </w:r>
    </w:p>
    <w:p>
      <w:pPr>
        <w:pStyle w:val="11"/>
        <w:ind w:firstLine="480"/>
        <w:rPr>
          <w:sz w:val="24"/>
        </w:rPr>
      </w:pPr>
      <w:r>
        <w:rPr>
          <w:rFonts w:hint="eastAsia"/>
          <w:sz w:val="24"/>
        </w:rPr>
        <w:t>（</w:t>
      </w:r>
      <w:r>
        <w:rPr>
          <w:sz w:val="24"/>
        </w:rPr>
        <w:t>2</w:t>
      </w:r>
      <w:r>
        <w:rPr>
          <w:rFonts w:hint="eastAsia"/>
          <w:sz w:val="24"/>
        </w:rPr>
        <w:t xml:space="preserve">）谈判报价表； </w:t>
      </w:r>
    </w:p>
    <w:p>
      <w:pPr>
        <w:pStyle w:val="11"/>
        <w:ind w:firstLine="480"/>
        <w:rPr>
          <w:sz w:val="24"/>
        </w:rPr>
      </w:pPr>
      <w:r>
        <w:rPr>
          <w:rFonts w:hint="eastAsia"/>
          <w:sz w:val="24"/>
        </w:rPr>
        <w:t>（3）偏离表；</w:t>
      </w:r>
    </w:p>
    <w:p>
      <w:pPr>
        <w:pStyle w:val="11"/>
        <w:ind w:firstLine="480"/>
        <w:rPr>
          <w:sz w:val="24"/>
        </w:rPr>
      </w:pPr>
      <w:r>
        <w:rPr>
          <w:rFonts w:hint="eastAsia"/>
          <w:sz w:val="24"/>
        </w:rPr>
        <w:t>（4）</w:t>
      </w:r>
      <w:r>
        <w:rPr>
          <w:rFonts w:hint="eastAsia"/>
          <w:bCs/>
          <w:sz w:val="24"/>
        </w:rPr>
        <w:t>谈判文件</w:t>
      </w:r>
      <w:r>
        <w:rPr>
          <w:rFonts w:hint="eastAsia"/>
          <w:sz w:val="24"/>
        </w:rPr>
        <w:t>要求提供的其他响应文件。</w:t>
      </w:r>
    </w:p>
    <w:p>
      <w:pPr>
        <w:pStyle w:val="11"/>
        <w:ind w:firstLine="480"/>
        <w:rPr>
          <w:sz w:val="24"/>
        </w:rPr>
      </w:pPr>
    </w:p>
    <w:p>
      <w:pPr>
        <w:pStyle w:val="11"/>
        <w:ind w:firstLine="480"/>
        <w:rPr>
          <w:sz w:val="24"/>
        </w:rPr>
      </w:pPr>
      <w:r>
        <w:rPr>
          <w:rFonts w:hint="eastAsia"/>
          <w:sz w:val="24"/>
        </w:rPr>
        <w:t>我单位符合《中华人民共和国政府采购法》第二十二条的规定，符合本项目供应商资格要求。</w:t>
      </w:r>
    </w:p>
    <w:p>
      <w:pPr>
        <w:pStyle w:val="11"/>
        <w:ind w:firstLine="480"/>
        <w:rPr>
          <w:sz w:val="24"/>
        </w:rPr>
      </w:pPr>
      <w:r>
        <w:rPr>
          <w:rFonts w:hint="eastAsia"/>
          <w:sz w:val="24"/>
        </w:rPr>
        <w:t>我单位</w:t>
      </w:r>
      <w:r>
        <w:rPr>
          <w:sz w:val="24"/>
        </w:rPr>
        <w:t>按照谈判文件的要求编制响应文件，并对其提交的响应文件</w:t>
      </w:r>
      <w:r>
        <w:rPr>
          <w:rFonts w:hint="eastAsia"/>
          <w:sz w:val="24"/>
        </w:rPr>
        <w:t>（包括资格预审申请文件）</w:t>
      </w:r>
      <w:r>
        <w:rPr>
          <w:sz w:val="24"/>
        </w:rPr>
        <w:t>的真实性、合法性承担法律责任。</w:t>
      </w:r>
    </w:p>
    <w:p>
      <w:pPr>
        <w:pStyle w:val="11"/>
        <w:ind w:firstLine="480"/>
        <w:rPr>
          <w:sz w:val="24"/>
        </w:rPr>
      </w:pPr>
    </w:p>
    <w:p>
      <w:pPr>
        <w:adjustRightInd w:val="0"/>
        <w:snapToGrid w:val="0"/>
        <w:ind w:right="34" w:rightChars="14" w:firstLine="480" w:firstLineChars="200"/>
      </w:pPr>
      <w:r>
        <w:rPr>
          <w:rFonts w:hint="eastAsia"/>
        </w:rPr>
        <w:t xml:space="preserve">供应商兹宣布同意如下: </w:t>
      </w:r>
    </w:p>
    <w:p>
      <w:pPr>
        <w:pStyle w:val="11"/>
        <w:ind w:firstLine="480" w:firstLineChars="200"/>
        <w:rPr>
          <w:sz w:val="24"/>
        </w:rPr>
      </w:pPr>
      <w:r>
        <w:rPr>
          <w:sz w:val="24"/>
        </w:rPr>
        <mc:AlternateContent>
          <mc:Choice Requires="wps">
            <w:drawing>
              <wp:anchor distT="0" distB="0" distL="114300" distR="114300" simplePos="0" relativeHeight="251661312" behindDoc="0" locked="0" layoutInCell="0" allowOverlap="1">
                <wp:simplePos x="0" y="0"/>
                <wp:positionH relativeFrom="column">
                  <wp:posOffset>3133725</wp:posOffset>
                </wp:positionH>
                <wp:positionV relativeFrom="paragraph">
                  <wp:posOffset>297180</wp:posOffset>
                </wp:positionV>
                <wp:extent cx="635"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46.75pt;margin-top:23.4pt;height:0pt;width:0.05pt;z-index:251661312;mso-width-relative:page;mso-height-relative:page;" filled="f" stroked="t" coordsize="21600,21600" o:allowincell="f" o:gfxdata="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C3oPNUA&#10;AAAJAQAADwAAAAAAAAABACAAAAAiAAAAZHJzL2Rvd25yZXYueG1sUEsBAhQAFAAAAAgAh07iQEev&#10;8RbpAQAA1AMAAA4AAAAAAAAAAQAgAAAAJAEAAGRycy9lMm9Eb2MueG1sUEsFBgAAAAAGAAYAWQEA&#10;AH8FA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660288" behindDoc="0" locked="0" layoutInCell="0" allowOverlap="1">
                <wp:simplePos x="0" y="0"/>
                <wp:positionH relativeFrom="column">
                  <wp:posOffset>2800350</wp:posOffset>
                </wp:positionH>
                <wp:positionV relativeFrom="paragraph">
                  <wp:posOffset>594360</wp:posOffset>
                </wp:positionV>
                <wp:extent cx="635"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20.5pt;margin-top:46.8pt;height:0pt;width:0.05pt;z-index:251660288;mso-width-relative:page;mso-height-relative:page;" filled="f" stroked="t" coordsize="21600,21600" o:allowincell="f" o:gfxdata="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a6W9YA&#10;AAAJAQAADwAAAAAAAAABACAAAAAiAAAAZHJzL2Rvd25yZXYueG1sUEsBAhQAFAAAAAgAh07iQDgQ&#10;H8/oAQAA1AMAAA4AAAAAAAAAAQAgAAAAJQEAAGRycy9lMm9Eb2MueG1sUEsFBgAAAAAGAAYAWQEA&#10;AH8FAAAAAA==&#10;">
                <v:fill on="f" focussize="0,0"/>
                <v:stroke color="#000000" joinstyle="round"/>
                <v:imagedata o:title=""/>
                <o:lock v:ext="edit" aspectratio="f"/>
              </v:line>
            </w:pict>
          </mc:Fallback>
        </mc:AlternateContent>
      </w:r>
      <w:r>
        <w:rPr>
          <w:rFonts w:hint="eastAsia"/>
          <w:sz w:val="24"/>
        </w:rPr>
        <w:t>一、完全承担根据《谈判文件》规定完成合同的责任和义务（如有偏离，将全部填写在偏离表中）。</w:t>
      </w:r>
    </w:p>
    <w:p>
      <w:pPr>
        <w:pStyle w:val="11"/>
        <w:ind w:firstLine="480" w:firstLineChars="200"/>
        <w:rPr>
          <w:sz w:val="24"/>
        </w:rPr>
      </w:pPr>
      <w:r>
        <w:rPr>
          <w:sz w:val="24"/>
        </w:rPr>
        <mc:AlternateContent>
          <mc:Choice Requires="wps">
            <w:drawing>
              <wp:anchor distT="0" distB="0" distL="114300" distR="114300" simplePos="0" relativeHeight="251662336" behindDoc="0" locked="0" layoutInCell="0" allowOverlap="1">
                <wp:simplePos x="0" y="0"/>
                <wp:positionH relativeFrom="column">
                  <wp:posOffset>2667000</wp:posOffset>
                </wp:positionH>
                <wp:positionV relativeFrom="paragraph">
                  <wp:posOffset>247650</wp:posOffset>
                </wp:positionV>
                <wp:extent cx="635"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10pt;margin-top:19.5pt;height:0pt;width:0.05pt;z-index:251662336;mso-width-relative:page;mso-height-relative:page;" filled="f" stroked="t" coordsize="21600,21600" o:allowincell="f" o:gfxdata="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4ejUA1QAA&#10;AAkBAAAPAAAAAAAAAAEAIAAAACIAAABkcnMvZG93bnJldi54bWxQSwECFAAUAAAACACHTuJAhiYF&#10;r+gBAADUAwAADgAAAAAAAAABACAAAAAkAQAAZHJzL2Uyb0RvYy54bWxQSwUGAAAAAAYABgBZAQAA&#10;fgU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663360" behindDoc="0" locked="0" layoutInCell="0" allowOverlap="1">
                <wp:simplePos x="0" y="0"/>
                <wp:positionH relativeFrom="column">
                  <wp:posOffset>2667000</wp:posOffset>
                </wp:positionH>
                <wp:positionV relativeFrom="paragraph">
                  <wp:posOffset>247650</wp:posOffset>
                </wp:positionV>
                <wp:extent cx="635"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10pt;margin-top:19.5pt;height:0pt;width:0.05pt;z-index:251663360;mso-width-relative:page;mso-height-relative:page;" filled="f" stroked="t" coordsize="21600,21600" o:allowincell="f" o:gfxdata="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4ejUA1QAA&#10;AAkBAAAPAAAAAAAAAAEAIAAAACIAAABkcnMvZG93bnJldi54bWxQSwECFAAUAAAACACHTuJARuFH&#10;HugBAADUAwAADgAAAAAAAAABACAAAAAkAQAAZHJzL2Uyb0RvYy54bWxQSwUGAAAAAAYABgBZAQAA&#10;fgUAAAAA&#10;">
                <v:fill on="f" focussize="0,0"/>
                <v:stroke color="#000000" joinstyle="round"/>
                <v:imagedata o:title=""/>
                <o:lock v:ext="edit" aspectratio="f"/>
              </v:line>
            </w:pict>
          </mc:Fallback>
        </mc:AlternateContent>
      </w:r>
      <w:r>
        <w:rPr>
          <w:rFonts w:hint="eastAsia"/>
          <w:sz w:val="24"/>
        </w:rPr>
        <w:t>二、保证所提供的响应文件（包括资格预审申请文件）及所有材料的真实、合法、有效，并对其负责。</w:t>
      </w:r>
    </w:p>
    <w:p>
      <w:pPr>
        <w:ind w:firstLine="480" w:firstLineChars="200"/>
      </w:pPr>
      <w:r>
        <w:rPr>
          <w:rFonts w:hint="eastAsia"/>
        </w:rPr>
        <w:t>三、已详细审核《</w:t>
      </w:r>
      <w:r>
        <w:rPr>
          <w:rFonts w:hint="eastAsia"/>
          <w:bCs/>
        </w:rPr>
        <w:t>谈判文件</w:t>
      </w:r>
      <w:r>
        <w:rPr>
          <w:rFonts w:hint="eastAsia"/>
        </w:rPr>
        <w:t>》，</w:t>
      </w:r>
      <w:r>
        <w:rPr>
          <w:rFonts w:hint="eastAsia"/>
          <w:szCs w:val="18"/>
        </w:rPr>
        <w:t>包括《谈判文件修改（澄清）》</w:t>
      </w:r>
      <w:r>
        <w:rPr>
          <w:rFonts w:hint="eastAsia"/>
        </w:rPr>
        <w:t>（如果有的话），本供应商完全理解并同意放弃对这方面不明及误解的权利。</w:t>
      </w:r>
    </w:p>
    <w:p>
      <w:pPr>
        <w:adjustRightInd w:val="0"/>
        <w:snapToGrid w:val="0"/>
        <w:ind w:right="34" w:rightChars="14" w:firstLine="480" w:firstLineChars="200"/>
      </w:pPr>
      <w:r>
        <w:rPr>
          <w:rFonts w:hint="eastAsia"/>
        </w:rPr>
        <w:t>四、所供货物保证符合国家有关产品质量、性能和安全标准，无权利瑕疵。</w:t>
      </w:r>
    </w:p>
    <w:p>
      <w:pPr>
        <w:adjustRightInd w:val="0"/>
        <w:snapToGrid w:val="0"/>
        <w:ind w:right="34" w:rightChars="14" w:firstLine="480" w:firstLineChars="200"/>
      </w:pPr>
      <w:r>
        <w:rPr>
          <w:rFonts w:hint="eastAsia"/>
        </w:rPr>
        <w:t>五、报价有效期为30个工作日。</w:t>
      </w:r>
    </w:p>
    <w:p>
      <w:pPr>
        <w:adjustRightInd w:val="0"/>
        <w:snapToGrid w:val="0"/>
        <w:ind w:right="34" w:rightChars="14" w:firstLine="480" w:firstLineChars="200"/>
      </w:pPr>
      <w:r>
        <w:rPr>
          <w:rFonts w:hint="eastAsia"/>
        </w:rPr>
        <w:t>六、同意向贵方提供贵方可能要求的与本次谈判采购有关的任何证据或资料。</w:t>
      </w:r>
    </w:p>
    <w:p>
      <w:pPr>
        <w:adjustRightInd w:val="0"/>
        <w:snapToGrid w:val="0"/>
        <w:ind w:right="34" w:rightChars="14" w:firstLine="480" w:firstLineChars="200"/>
      </w:pPr>
      <w:r>
        <w:rPr>
          <w:rFonts w:hint="eastAsia"/>
        </w:rPr>
        <w:t>七、完全理解贵方不一定要接受最低的报价或收到的任何报价。</w:t>
      </w:r>
    </w:p>
    <w:p>
      <w:pPr>
        <w:adjustRightInd w:val="0"/>
        <w:snapToGrid w:val="0"/>
        <w:ind w:right="34" w:rightChars="14" w:firstLine="480" w:firstLineChars="200"/>
      </w:pPr>
      <w:r>
        <w:rPr>
          <w:rFonts w:hint="eastAsia"/>
        </w:rPr>
        <w:t>八、徐州生物工程职业技术学院有权将我单位本项目的《谈判报价表》和《工程报价书》以及《主要材料（设备）一览表》予以公示，公示的方式由徐州生物工程职业技术学院。</w:t>
      </w:r>
    </w:p>
    <w:p>
      <w:pPr>
        <w:adjustRightInd w:val="0"/>
        <w:snapToGrid w:val="0"/>
        <w:ind w:firstLine="3794" w:firstLineChars="1581"/>
        <w:rPr>
          <w:rFonts w:cs="仿宋_GB2312"/>
        </w:rPr>
      </w:pPr>
    </w:p>
    <w:p>
      <w:pPr>
        <w:adjustRightInd w:val="0"/>
        <w:snapToGrid w:val="0"/>
        <w:ind w:firstLine="3794" w:firstLineChars="1581"/>
        <w:rPr>
          <w:rFonts w:cs="仿宋_GB2312"/>
        </w:rPr>
      </w:pPr>
    </w:p>
    <w:p>
      <w:pPr>
        <w:adjustRightInd w:val="0"/>
        <w:snapToGrid w:val="0"/>
        <w:ind w:firstLine="3794" w:firstLineChars="1581"/>
        <w:rPr>
          <w:rFonts w:cs="仿宋_GB2312"/>
        </w:rPr>
      </w:pPr>
    </w:p>
    <w:p>
      <w:pPr>
        <w:adjustRightInd w:val="0"/>
        <w:snapToGrid w:val="0"/>
        <w:ind w:firstLine="3794" w:firstLineChars="1581"/>
        <w:rPr>
          <w:rFonts w:cs="仿宋_GB2312"/>
        </w:rPr>
      </w:pPr>
    </w:p>
    <w:p>
      <w:pPr>
        <w:adjustRightInd w:val="0"/>
        <w:snapToGrid w:val="0"/>
        <w:ind w:firstLine="3794" w:firstLineChars="1581"/>
        <w:rPr>
          <w:rFonts w:cs="仿宋_GB2312"/>
        </w:rPr>
      </w:pPr>
      <w:r>
        <w:rPr>
          <w:rFonts w:hint="eastAsia" w:cs="仿宋_GB2312"/>
        </w:rPr>
        <w:t>谈判报价供应商（公章）：</w:t>
      </w:r>
    </w:p>
    <w:p>
      <w:pPr>
        <w:adjustRightInd w:val="0"/>
        <w:snapToGrid w:val="0"/>
        <w:ind w:firstLine="3088" w:firstLineChars="1287"/>
        <w:rPr>
          <w:rFonts w:cs="仿宋_GB2312"/>
        </w:rPr>
      </w:pPr>
      <w:r>
        <w:rPr>
          <w:rFonts w:hint="eastAsia" w:cs="仿宋_GB2312"/>
        </w:rPr>
        <w:t xml:space="preserve">      </w:t>
      </w:r>
    </w:p>
    <w:p>
      <w:pPr>
        <w:adjustRightInd w:val="0"/>
        <w:snapToGrid w:val="0"/>
        <w:ind w:firstLine="3088" w:firstLineChars="1287"/>
        <w:rPr>
          <w:rFonts w:cs="仿宋_GB2312"/>
        </w:rPr>
      </w:pPr>
      <w:r>
        <w:rPr>
          <w:rFonts w:hint="eastAsia" w:cs="仿宋_GB2312"/>
        </w:rPr>
        <w:t xml:space="preserve">      </w:t>
      </w:r>
    </w:p>
    <w:p>
      <w:pPr>
        <w:adjustRightInd w:val="0"/>
        <w:snapToGrid w:val="0"/>
        <w:ind w:firstLine="3784" w:firstLineChars="1577"/>
        <w:rPr>
          <w:rFonts w:cs="仿宋_GB2312"/>
        </w:rPr>
      </w:pPr>
      <w:r>
        <w:rPr>
          <w:rFonts w:hint="eastAsia" w:cs="仿宋_GB2312"/>
        </w:rPr>
        <w:t>谈判代表：</w:t>
      </w:r>
    </w:p>
    <w:p>
      <w:pPr>
        <w:adjustRightInd w:val="0"/>
        <w:snapToGrid w:val="0"/>
        <w:ind w:firstLine="3794" w:firstLineChars="1581"/>
        <w:rPr>
          <w:rFonts w:cs="仿宋_GB2312"/>
        </w:rPr>
      </w:pPr>
      <w:r>
        <w:rPr>
          <w:rFonts w:hint="eastAsia" w:cs="仿宋_GB2312"/>
        </w:rPr>
        <w:t>联系电话：</w:t>
      </w:r>
    </w:p>
    <w:p>
      <w:pPr>
        <w:adjustRightInd w:val="0"/>
        <w:snapToGrid w:val="0"/>
        <w:ind w:firstLine="3794" w:firstLineChars="1581"/>
        <w:rPr>
          <w:rFonts w:cs="仿宋_GB2312"/>
        </w:rPr>
      </w:pPr>
      <w:r>
        <w:rPr>
          <w:rFonts w:hint="eastAsia" w:cs="仿宋_GB2312"/>
        </w:rPr>
        <w:t>移动电话：</w:t>
      </w:r>
    </w:p>
    <w:p>
      <w:pPr>
        <w:adjustRightInd w:val="0"/>
        <w:snapToGrid w:val="0"/>
        <w:ind w:firstLine="3840" w:firstLineChars="1600"/>
        <w:rPr>
          <w:rFonts w:cs="仿宋_GB2312"/>
        </w:rPr>
      </w:pPr>
      <w:r>
        <w:rPr>
          <w:rFonts w:hint="eastAsia" w:cs="仿宋_GB2312"/>
        </w:rPr>
        <w:t>年  月  日</w:t>
      </w:r>
    </w:p>
    <w:p>
      <w:pPr>
        <w:spacing w:line="288" w:lineRule="auto"/>
      </w:pPr>
    </w:p>
    <w:p>
      <w:pPr>
        <w:pStyle w:val="4"/>
      </w:pPr>
      <w:r>
        <w:rPr>
          <w:rFonts w:hint="eastAsia"/>
        </w:rPr>
        <w:t>3、谈判报价表</w:t>
      </w:r>
    </w:p>
    <w:p>
      <w:pPr>
        <w:spacing w:line="288" w:lineRule="auto"/>
        <w:rPr>
          <w:rFonts w:hint="eastAsia" w:eastAsia="宋体" w:cs="仿宋_GB2312"/>
          <w:lang w:eastAsia="zh-CN"/>
        </w:rPr>
      </w:pPr>
      <w:r>
        <w:rPr>
          <w:rFonts w:hint="eastAsia" w:cs="仿宋_GB2312"/>
        </w:rPr>
        <w:t>项目编号：</w:t>
      </w:r>
      <w:r>
        <w:rPr>
          <w:rFonts w:hint="eastAsia" w:cs="仿宋_GB2312"/>
          <w:bCs/>
          <w:lang w:eastAsia="zh-CN"/>
        </w:rPr>
        <w:t>徐生采（2023）xzsw1102</w:t>
      </w:r>
    </w:p>
    <w:p>
      <w:pPr>
        <w:spacing w:line="288" w:lineRule="auto"/>
        <w:rPr>
          <w:rFonts w:cs="仿宋_GB2312"/>
        </w:rPr>
      </w:pPr>
      <w:r>
        <w:rPr>
          <w:rFonts w:hint="eastAsia" w:cs="仿宋_GB2312"/>
        </w:rPr>
        <w:t>本次为首次报价</w:t>
      </w:r>
    </w:p>
    <w:p>
      <w:pPr>
        <w:adjustRightInd w:val="0"/>
        <w:snapToGrid w:val="0"/>
        <w:spacing w:line="288" w:lineRule="auto"/>
        <w:jc w:val="right"/>
        <w:rPr>
          <w:rFonts w:cs="仿宋_GB2312"/>
        </w:rPr>
      </w:pPr>
      <w:r>
        <w:rPr>
          <w:rFonts w:hint="eastAsia" w:cs="仿宋_GB2312"/>
        </w:rPr>
        <w:t>货币单位：人民币元</w:t>
      </w:r>
    </w:p>
    <w:p>
      <w:pPr>
        <w:adjustRightInd w:val="0"/>
        <w:snapToGrid w:val="0"/>
        <w:spacing w:line="288" w:lineRule="auto"/>
        <w:rPr>
          <w:rFonts w:cs="仿宋_GB2312"/>
        </w:rPr>
      </w:pPr>
    </w:p>
    <w:tbl>
      <w:tblPr>
        <w:tblStyle w:val="14"/>
        <w:tblW w:w="9005" w:type="dxa"/>
        <w:jc w:val="center"/>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Layout w:type="fixed"/>
        <w:tblCellMar>
          <w:top w:w="0" w:type="dxa"/>
          <w:left w:w="108" w:type="dxa"/>
          <w:bottom w:w="0" w:type="dxa"/>
          <w:right w:w="108" w:type="dxa"/>
        </w:tblCellMar>
      </w:tblPr>
      <w:tblGrid>
        <w:gridCol w:w="1550"/>
        <w:gridCol w:w="2454"/>
        <w:gridCol w:w="1560"/>
        <w:gridCol w:w="1305"/>
        <w:gridCol w:w="1290"/>
        <w:gridCol w:w="846"/>
      </w:tblGrid>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884" w:hRule="atLeast"/>
          <w:jc w:val="center"/>
        </w:trPr>
        <w:tc>
          <w:tcPr>
            <w:tcW w:w="1550" w:type="dxa"/>
            <w:tcBorders>
              <w:top w:val="double" w:color="000000" w:sz="6" w:space="0"/>
              <w:left w:val="double" w:color="000000" w:sz="6" w:space="0"/>
              <w:bottom w:val="double" w:color="000000" w:sz="2" w:space="0"/>
              <w:right w:val="double" w:color="000000" w:sz="2" w:space="0"/>
            </w:tcBorders>
            <w:vAlign w:val="center"/>
          </w:tcPr>
          <w:p>
            <w:pPr>
              <w:spacing w:line="288" w:lineRule="auto"/>
              <w:jc w:val="center"/>
              <w:rPr>
                <w:rFonts w:cs="仿宋_GB2312"/>
              </w:rPr>
            </w:pPr>
            <w:r>
              <w:t>项目名称</w:t>
            </w:r>
          </w:p>
        </w:tc>
        <w:tc>
          <w:tcPr>
            <w:tcW w:w="2454" w:type="dxa"/>
            <w:tcBorders>
              <w:top w:val="double" w:color="000000" w:sz="6" w:space="0"/>
              <w:left w:val="double" w:color="000000" w:sz="2" w:space="0"/>
              <w:bottom w:val="double" w:color="000000" w:sz="2" w:space="0"/>
              <w:right w:val="double" w:color="000000" w:sz="2" w:space="0"/>
            </w:tcBorders>
            <w:vAlign w:val="center"/>
          </w:tcPr>
          <w:p>
            <w:pPr>
              <w:spacing w:line="288" w:lineRule="auto"/>
              <w:jc w:val="center"/>
              <w:rPr>
                <w:rFonts w:cs="仿宋_GB2312"/>
              </w:rPr>
            </w:pPr>
            <w:r>
              <w:rPr>
                <w:rFonts w:hint="eastAsia" w:cs="仿宋_GB2312"/>
              </w:rPr>
              <w:t>项目内容</w:t>
            </w:r>
          </w:p>
        </w:tc>
        <w:tc>
          <w:tcPr>
            <w:tcW w:w="1560" w:type="dxa"/>
            <w:tcBorders>
              <w:top w:val="double" w:color="000000" w:sz="6" w:space="0"/>
              <w:left w:val="double" w:color="auto" w:sz="4" w:space="0"/>
              <w:bottom w:val="double" w:color="000000" w:sz="2" w:space="0"/>
              <w:right w:val="double" w:color="000000" w:sz="2" w:space="0"/>
            </w:tcBorders>
            <w:vAlign w:val="center"/>
          </w:tcPr>
          <w:p>
            <w:pPr>
              <w:spacing w:line="288" w:lineRule="auto"/>
              <w:jc w:val="center"/>
              <w:rPr>
                <w:rFonts w:cs="仿宋_GB2312"/>
              </w:rPr>
            </w:pPr>
            <w:r>
              <w:rPr>
                <w:rFonts w:hint="eastAsia" w:cs="仿宋_GB2312"/>
                <w:lang w:val="en-US" w:eastAsia="zh-CN"/>
              </w:rPr>
              <w:t>单价</w:t>
            </w:r>
            <w:r>
              <w:rPr>
                <w:rFonts w:hint="eastAsia" w:cs="仿宋_GB2312"/>
              </w:rPr>
              <w:t>报价（小写）</w:t>
            </w:r>
          </w:p>
        </w:tc>
        <w:tc>
          <w:tcPr>
            <w:tcW w:w="1305" w:type="dxa"/>
            <w:tcBorders>
              <w:top w:val="double" w:color="000000" w:sz="6" w:space="0"/>
              <w:left w:val="double" w:color="auto" w:sz="4" w:space="0"/>
              <w:bottom w:val="double" w:color="000000" w:sz="2" w:space="0"/>
              <w:right w:val="double" w:color="000000" w:sz="2" w:space="0"/>
            </w:tcBorders>
            <w:vAlign w:val="center"/>
          </w:tcPr>
          <w:p>
            <w:pPr>
              <w:spacing w:line="288" w:lineRule="auto"/>
              <w:jc w:val="center"/>
              <w:rPr>
                <w:rFonts w:hint="eastAsia" w:eastAsia="宋体" w:cs="仿宋_GB2312"/>
                <w:lang w:val="en-US" w:eastAsia="zh-CN"/>
              </w:rPr>
            </w:pPr>
            <w:r>
              <w:rPr>
                <w:rFonts w:hint="eastAsia" w:cs="仿宋_GB2312"/>
                <w:lang w:val="en-US" w:eastAsia="zh-CN"/>
              </w:rPr>
              <w:t>数量（只）</w:t>
            </w:r>
          </w:p>
        </w:tc>
        <w:tc>
          <w:tcPr>
            <w:tcW w:w="1290" w:type="dxa"/>
            <w:tcBorders>
              <w:top w:val="double" w:color="000000" w:sz="6" w:space="0"/>
              <w:left w:val="double" w:color="auto" w:sz="4" w:space="0"/>
              <w:bottom w:val="double" w:color="000000" w:sz="2" w:space="0"/>
              <w:right w:val="double" w:color="000000" w:sz="2" w:space="0"/>
            </w:tcBorders>
            <w:vAlign w:val="center"/>
          </w:tcPr>
          <w:p>
            <w:pPr>
              <w:spacing w:line="288" w:lineRule="auto"/>
              <w:jc w:val="center"/>
              <w:rPr>
                <w:rFonts w:hint="eastAsia" w:cs="仿宋_GB2312"/>
              </w:rPr>
            </w:pPr>
            <w:r>
              <w:rPr>
                <w:rFonts w:hint="eastAsia" w:cs="仿宋_GB2312"/>
              </w:rPr>
              <w:t>工程质量</w:t>
            </w:r>
          </w:p>
        </w:tc>
        <w:tc>
          <w:tcPr>
            <w:tcW w:w="846" w:type="dxa"/>
            <w:tcBorders>
              <w:top w:val="double" w:color="000000" w:sz="6" w:space="0"/>
              <w:left w:val="double" w:color="auto" w:sz="4" w:space="0"/>
              <w:bottom w:val="double" w:color="000000" w:sz="2" w:space="0"/>
              <w:right w:val="double" w:color="000000" w:sz="2" w:space="0"/>
            </w:tcBorders>
            <w:vAlign w:val="center"/>
          </w:tcPr>
          <w:p>
            <w:pPr>
              <w:spacing w:line="288" w:lineRule="auto"/>
              <w:jc w:val="center"/>
              <w:rPr>
                <w:rFonts w:cs="仿宋_GB2312"/>
              </w:rPr>
            </w:pPr>
            <w:r>
              <w:rPr>
                <w:rFonts w:hint="eastAsia" w:cs="仿宋_GB2312"/>
              </w:rPr>
              <w:t>工期</w:t>
            </w:r>
          </w:p>
        </w:tc>
      </w:tr>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1476" w:hRule="atLeast"/>
          <w:jc w:val="center"/>
        </w:trPr>
        <w:tc>
          <w:tcPr>
            <w:tcW w:w="1550" w:type="dxa"/>
            <w:tcBorders>
              <w:top w:val="double" w:color="000000" w:sz="2" w:space="0"/>
              <w:left w:val="double" w:color="000000" w:sz="6" w:space="0"/>
              <w:bottom w:val="double" w:color="000000" w:sz="2" w:space="0"/>
              <w:right w:val="double" w:color="000000" w:sz="2" w:space="0"/>
            </w:tcBorders>
            <w:vAlign w:val="center"/>
          </w:tcPr>
          <w:p>
            <w:pPr>
              <w:spacing w:line="288" w:lineRule="auto"/>
              <w:rPr>
                <w:rFonts w:hint="eastAsia" w:eastAsia="宋体" w:cs="仿宋_GB2312"/>
                <w:lang w:eastAsia="zh-CN"/>
              </w:rPr>
            </w:pPr>
            <w:r>
              <w:rPr>
                <w:rFonts w:hint="eastAsia"/>
                <w:lang w:eastAsia="zh-CN"/>
              </w:rPr>
              <w:t>学生宿舍用床改造项目</w:t>
            </w:r>
          </w:p>
        </w:tc>
        <w:tc>
          <w:tcPr>
            <w:tcW w:w="2454" w:type="dxa"/>
            <w:tcBorders>
              <w:top w:val="double" w:color="000000" w:sz="2" w:space="0"/>
              <w:left w:val="double" w:color="000000" w:sz="2" w:space="0"/>
              <w:bottom w:val="double" w:color="000000" w:sz="2" w:space="0"/>
              <w:right w:val="double" w:color="000000" w:sz="2" w:space="0"/>
            </w:tcBorders>
            <w:vAlign w:val="center"/>
          </w:tcPr>
          <w:p>
            <w:pPr>
              <w:spacing w:line="288" w:lineRule="auto"/>
              <w:jc w:val="center"/>
              <w:rPr>
                <w:rFonts w:cs="仿宋_GB2312"/>
              </w:rPr>
            </w:pPr>
            <w:r>
              <w:rPr>
                <w:rFonts w:hint="eastAsia" w:cs="仿宋_GB2312"/>
              </w:rPr>
              <w:t>详见</w:t>
            </w:r>
            <w:r>
              <w:rPr>
                <w:rFonts w:hint="eastAsia"/>
              </w:rPr>
              <w:t>《谈判文件》附：1、《项目要求》</w:t>
            </w:r>
          </w:p>
        </w:tc>
        <w:tc>
          <w:tcPr>
            <w:tcW w:w="1560" w:type="dxa"/>
            <w:tcBorders>
              <w:top w:val="double" w:color="000000" w:sz="2" w:space="0"/>
              <w:left w:val="double" w:color="auto" w:sz="4" w:space="0"/>
              <w:bottom w:val="double" w:color="000000" w:sz="2" w:space="0"/>
              <w:right w:val="double" w:color="000000" w:sz="2" w:space="0"/>
            </w:tcBorders>
            <w:vAlign w:val="center"/>
          </w:tcPr>
          <w:p>
            <w:pPr>
              <w:spacing w:line="288" w:lineRule="auto"/>
              <w:jc w:val="center"/>
              <w:rPr>
                <w:rFonts w:cs="仿宋_GB2312"/>
              </w:rPr>
            </w:pPr>
          </w:p>
        </w:tc>
        <w:tc>
          <w:tcPr>
            <w:tcW w:w="1305" w:type="dxa"/>
            <w:tcBorders>
              <w:top w:val="double" w:color="000000" w:sz="2" w:space="0"/>
              <w:left w:val="double" w:color="auto" w:sz="4" w:space="0"/>
              <w:bottom w:val="double" w:color="000000" w:sz="2" w:space="0"/>
              <w:right w:val="double" w:color="000000" w:sz="2" w:space="0"/>
            </w:tcBorders>
            <w:vAlign w:val="center"/>
          </w:tcPr>
          <w:p>
            <w:pPr>
              <w:spacing w:line="288" w:lineRule="auto"/>
              <w:jc w:val="center"/>
              <w:rPr>
                <w:rFonts w:hint="default" w:eastAsia="宋体" w:cs="仿宋_GB2312"/>
                <w:lang w:val="en-US" w:eastAsia="zh-CN"/>
              </w:rPr>
            </w:pPr>
            <w:r>
              <w:rPr>
                <w:rFonts w:hint="eastAsia" w:cs="仿宋_GB2312"/>
                <w:lang w:val="en-US" w:eastAsia="zh-CN"/>
              </w:rPr>
              <w:t>2719</w:t>
            </w:r>
          </w:p>
        </w:tc>
        <w:tc>
          <w:tcPr>
            <w:tcW w:w="1290" w:type="dxa"/>
            <w:tcBorders>
              <w:top w:val="double" w:color="000000" w:sz="2" w:space="0"/>
              <w:left w:val="double" w:color="auto" w:sz="4" w:space="0"/>
              <w:bottom w:val="double" w:color="000000" w:sz="2" w:space="0"/>
              <w:right w:val="double" w:color="000000" w:sz="2" w:space="0"/>
            </w:tcBorders>
            <w:vAlign w:val="center"/>
          </w:tcPr>
          <w:p>
            <w:pPr>
              <w:spacing w:line="288" w:lineRule="auto"/>
              <w:jc w:val="center"/>
              <w:rPr>
                <w:rFonts w:cs="仿宋_GB2312"/>
              </w:rPr>
            </w:pPr>
          </w:p>
        </w:tc>
        <w:tc>
          <w:tcPr>
            <w:tcW w:w="846" w:type="dxa"/>
            <w:tcBorders>
              <w:top w:val="double" w:color="000000" w:sz="2" w:space="0"/>
              <w:left w:val="double" w:color="auto" w:sz="4" w:space="0"/>
              <w:bottom w:val="double" w:color="000000" w:sz="2" w:space="0"/>
              <w:right w:val="double" w:color="000000" w:sz="2" w:space="0"/>
            </w:tcBorders>
            <w:vAlign w:val="center"/>
          </w:tcPr>
          <w:p>
            <w:pPr>
              <w:spacing w:line="288" w:lineRule="auto"/>
              <w:jc w:val="center"/>
              <w:rPr>
                <w:rFonts w:cs="仿宋_GB2312"/>
              </w:rPr>
            </w:pPr>
          </w:p>
        </w:tc>
      </w:tr>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923" w:hRule="atLeast"/>
          <w:jc w:val="center"/>
        </w:trPr>
        <w:tc>
          <w:tcPr>
            <w:tcW w:w="1550" w:type="dxa"/>
            <w:tcBorders>
              <w:top w:val="double" w:color="000000" w:sz="2" w:space="0"/>
              <w:left w:val="double" w:color="000000" w:sz="6" w:space="0"/>
              <w:bottom w:val="double" w:color="000000" w:sz="2" w:space="0"/>
              <w:right w:val="double" w:color="000000" w:sz="2" w:space="0"/>
            </w:tcBorders>
            <w:vAlign w:val="center"/>
          </w:tcPr>
          <w:p>
            <w:pPr>
              <w:spacing w:line="288" w:lineRule="auto"/>
              <w:jc w:val="center"/>
              <w:rPr>
                <w:rFonts w:cs="仿宋_GB2312"/>
              </w:rPr>
            </w:pPr>
            <w:r>
              <w:rPr>
                <w:rFonts w:hint="eastAsia"/>
                <w:lang w:val="en-US" w:eastAsia="zh-CN"/>
              </w:rPr>
              <w:t>总价</w:t>
            </w:r>
            <w:r>
              <w:rPr>
                <w:rFonts w:hint="eastAsia"/>
              </w:rPr>
              <w:t>报价</w:t>
            </w:r>
            <w:r>
              <w:rPr>
                <w:rFonts w:hint="eastAsia" w:cs="仿宋_GB2312"/>
              </w:rPr>
              <w:t>（大写）</w:t>
            </w:r>
          </w:p>
        </w:tc>
        <w:tc>
          <w:tcPr>
            <w:tcW w:w="7455" w:type="dxa"/>
            <w:gridSpan w:val="5"/>
            <w:tcBorders>
              <w:top w:val="double" w:color="000000" w:sz="2" w:space="0"/>
              <w:left w:val="double" w:color="000000" w:sz="2" w:space="0"/>
              <w:bottom w:val="double" w:color="000000" w:sz="2" w:space="0"/>
              <w:right w:val="double" w:color="000000" w:sz="2" w:space="0"/>
            </w:tcBorders>
            <w:vAlign w:val="center"/>
          </w:tcPr>
          <w:p>
            <w:pPr>
              <w:spacing w:line="288" w:lineRule="auto"/>
            </w:pPr>
          </w:p>
        </w:tc>
      </w:tr>
    </w:tbl>
    <w:p>
      <w:pPr>
        <w:spacing w:line="288" w:lineRule="auto"/>
        <w:rPr>
          <w:rFonts w:cs="仿宋_GB2312"/>
        </w:rPr>
      </w:pPr>
    </w:p>
    <w:p>
      <w:pPr>
        <w:spacing w:line="288" w:lineRule="auto"/>
      </w:pPr>
      <w:r>
        <w:rPr>
          <w:rFonts w:hint="eastAsia"/>
        </w:rPr>
        <w:t>供应商报价说明：</w:t>
      </w:r>
    </w:p>
    <w:p>
      <w:pPr>
        <w:spacing w:line="288" w:lineRule="auto"/>
        <w:ind w:right="-1202" w:rightChars="-501" w:firstLine="480" w:firstLineChars="200"/>
      </w:pPr>
      <w:r>
        <w:rPr>
          <w:rFonts w:hint="eastAsia"/>
        </w:rPr>
        <w:t>1、</w:t>
      </w:r>
      <w:r>
        <w:rPr>
          <w:rFonts w:hint="eastAsia"/>
          <w:bCs/>
        </w:rPr>
        <w:t>报价包括竣工验收等全部费用。采购人不需再支付报价以外的任何费用。</w:t>
      </w:r>
    </w:p>
    <w:p>
      <w:pPr>
        <w:spacing w:line="288" w:lineRule="auto"/>
        <w:ind w:firstLine="480" w:firstLineChars="200"/>
      </w:pPr>
      <w:r>
        <w:rPr>
          <w:rFonts w:hint="eastAsia"/>
        </w:rPr>
        <w:t>2、偏离说明：详见《偏离表》。</w:t>
      </w:r>
    </w:p>
    <w:p>
      <w:pPr>
        <w:spacing w:line="288" w:lineRule="auto"/>
        <w:ind w:firstLine="480" w:firstLineChars="200"/>
      </w:pPr>
      <w:r>
        <w:rPr>
          <w:rFonts w:hint="eastAsia"/>
        </w:rPr>
        <w:t>3、报价大小写不一致以大写为准。</w:t>
      </w:r>
    </w:p>
    <w:p>
      <w:pPr>
        <w:spacing w:line="288" w:lineRule="auto"/>
        <w:ind w:firstLine="480" w:firstLineChars="200"/>
      </w:pPr>
      <w:r>
        <w:rPr>
          <w:rFonts w:hint="eastAsia"/>
        </w:rPr>
        <w:t>4、报价与</w:t>
      </w:r>
      <w:r>
        <w:t>响应文件</w:t>
      </w:r>
      <w:r>
        <w:rPr>
          <w:rFonts w:hint="eastAsia"/>
        </w:rPr>
        <w:t>（首次）中《工程报价书》中的总价一致。</w:t>
      </w:r>
    </w:p>
    <w:p>
      <w:pPr>
        <w:spacing w:line="288" w:lineRule="auto"/>
        <w:rPr>
          <w:rFonts w:cs="仿宋_GB2312"/>
        </w:rPr>
      </w:pPr>
      <w:r>
        <w:rPr>
          <w:rFonts w:hint="eastAsia" w:cs="仿宋_GB2312"/>
        </w:rPr>
        <w:t xml:space="preserve">  </w:t>
      </w:r>
    </w:p>
    <w:p>
      <w:pPr>
        <w:spacing w:line="288" w:lineRule="auto"/>
        <w:ind w:firstLine="480" w:firstLineChars="200"/>
        <w:rPr>
          <w:rFonts w:cs="仿宋_GB2312"/>
        </w:rPr>
      </w:pPr>
    </w:p>
    <w:p>
      <w:pPr>
        <w:spacing w:line="288" w:lineRule="auto"/>
        <w:rPr>
          <w:rFonts w:cs="仿宋_GB2312"/>
        </w:rPr>
      </w:pPr>
      <w:r>
        <w:rPr>
          <w:rFonts w:hint="eastAsia" w:cs="仿宋_GB2312"/>
        </w:rPr>
        <w:t>供应商名称：　　　　　　　　　　　　　　　</w:t>
      </w:r>
    </w:p>
    <w:p>
      <w:pPr>
        <w:spacing w:line="288" w:lineRule="auto"/>
        <w:rPr>
          <w:rFonts w:cs="仿宋_GB2312"/>
        </w:rPr>
      </w:pPr>
    </w:p>
    <w:p>
      <w:pPr>
        <w:spacing w:line="288" w:lineRule="auto"/>
        <w:rPr>
          <w:rFonts w:cs="仿宋_GB2312"/>
        </w:rPr>
      </w:pPr>
      <w:r>
        <w:rPr>
          <w:rFonts w:hint="eastAsia" w:cs="仿宋_GB2312"/>
        </w:rPr>
        <w:t>供应商公章：</w:t>
      </w:r>
    </w:p>
    <w:p>
      <w:pPr>
        <w:spacing w:line="288" w:lineRule="auto"/>
        <w:rPr>
          <w:rFonts w:cs="仿宋_GB2312"/>
        </w:rPr>
      </w:pPr>
    </w:p>
    <w:p>
      <w:pPr>
        <w:spacing w:line="288" w:lineRule="auto"/>
        <w:rPr>
          <w:rFonts w:cs="仿宋_GB2312"/>
        </w:rPr>
      </w:pPr>
      <w:r>
        <w:rPr>
          <w:rFonts w:hint="eastAsia" w:cs="仿宋_GB2312"/>
        </w:rPr>
        <w:t xml:space="preserve">谈判代表（授权人）签字：                      </w:t>
      </w:r>
    </w:p>
    <w:p>
      <w:pPr>
        <w:spacing w:line="288" w:lineRule="auto"/>
        <w:rPr>
          <w:rFonts w:cs="仿宋_GB2312"/>
        </w:rPr>
      </w:pPr>
    </w:p>
    <w:p>
      <w:pPr>
        <w:spacing w:line="288" w:lineRule="auto"/>
        <w:rPr>
          <w:rFonts w:cs="仿宋_GB2312"/>
        </w:rPr>
      </w:pPr>
      <w:r>
        <w:rPr>
          <w:rFonts w:hint="eastAsia" w:cs="仿宋_GB2312"/>
        </w:rPr>
        <w:t>报价时间：    年  月  日</w:t>
      </w:r>
    </w:p>
    <w:p>
      <w:pPr>
        <w:pStyle w:val="7"/>
        <w:spacing w:line="288" w:lineRule="auto"/>
        <w:ind w:firstLine="480"/>
        <w:sectPr>
          <w:footerReference r:id="rId3" w:type="default"/>
          <w:footerReference r:id="rId4" w:type="even"/>
          <w:pgSz w:w="11906" w:h="16838"/>
          <w:pgMar w:top="1440" w:right="1800" w:bottom="1440" w:left="1800" w:header="851" w:footer="992" w:gutter="0"/>
          <w:cols w:space="720" w:num="1"/>
          <w:docGrid w:type="lines" w:linePitch="312" w:charSpace="0"/>
        </w:sectPr>
      </w:pPr>
    </w:p>
    <w:p>
      <w:pPr>
        <w:pStyle w:val="4"/>
        <w:rPr>
          <w:b w:val="0"/>
          <w:bCs/>
        </w:rPr>
      </w:pPr>
      <w:bookmarkStart w:id="0" w:name="_GoBack"/>
      <w:bookmarkEnd w:id="0"/>
      <w:r>
        <w:rPr>
          <w:rFonts w:hint="eastAsia"/>
          <w:b w:val="0"/>
          <w:bCs/>
        </w:rPr>
        <w:t>谈判报价表</w:t>
      </w:r>
    </w:p>
    <w:p>
      <w:pPr>
        <w:spacing w:line="288" w:lineRule="auto"/>
        <w:rPr>
          <w:rFonts w:hint="eastAsia" w:cs="仿宋_GB2312"/>
        </w:rPr>
      </w:pPr>
    </w:p>
    <w:p>
      <w:pPr>
        <w:spacing w:line="288" w:lineRule="auto"/>
        <w:rPr>
          <w:rFonts w:hint="eastAsia" w:eastAsia="宋体" w:cs="仿宋_GB2312"/>
          <w:lang w:eastAsia="zh-CN"/>
        </w:rPr>
      </w:pPr>
      <w:r>
        <w:rPr>
          <w:rFonts w:hint="eastAsia" w:cs="仿宋_GB2312"/>
        </w:rPr>
        <w:t>项目编号：</w:t>
      </w:r>
      <w:r>
        <w:rPr>
          <w:rFonts w:hint="eastAsia" w:cs="仿宋_GB2312"/>
          <w:bCs/>
          <w:lang w:eastAsia="zh-CN"/>
        </w:rPr>
        <w:t>徐生采（2023）xzsw1102</w:t>
      </w:r>
    </w:p>
    <w:p>
      <w:pPr>
        <w:spacing w:line="288" w:lineRule="auto"/>
        <w:rPr>
          <w:rFonts w:hint="default" w:eastAsia="宋体" w:cs="仿宋_GB2312"/>
          <w:lang w:val="en-US" w:eastAsia="zh-CN"/>
        </w:rPr>
      </w:pPr>
      <w:r>
        <w:rPr>
          <w:rFonts w:hint="eastAsia" w:cs="仿宋_GB2312"/>
        </w:rPr>
        <w:t>本次为最终报价</w:t>
      </w:r>
      <w:r>
        <w:rPr>
          <w:rFonts w:hint="eastAsia" w:cs="仿宋_GB2312"/>
          <w:lang w:eastAsia="zh-CN"/>
        </w:rPr>
        <w:t>，</w:t>
      </w:r>
      <w:r>
        <w:rPr>
          <w:rFonts w:hint="eastAsia" w:cs="仿宋_GB2312"/>
          <w:lang w:val="en-US" w:eastAsia="zh-CN"/>
        </w:rPr>
        <w:t>在开标现场填报。</w:t>
      </w:r>
    </w:p>
    <w:p>
      <w:pPr>
        <w:adjustRightInd w:val="0"/>
        <w:snapToGrid w:val="0"/>
        <w:spacing w:line="288" w:lineRule="auto"/>
        <w:jc w:val="right"/>
        <w:rPr>
          <w:rFonts w:cs="仿宋_GB2312"/>
        </w:rPr>
      </w:pPr>
      <w:r>
        <w:rPr>
          <w:rFonts w:hint="eastAsia" w:cs="仿宋_GB2312"/>
        </w:rPr>
        <w:t>货币单位：人民币元</w:t>
      </w:r>
    </w:p>
    <w:p>
      <w:pPr>
        <w:adjustRightInd w:val="0"/>
        <w:snapToGrid w:val="0"/>
        <w:spacing w:line="288" w:lineRule="auto"/>
        <w:rPr>
          <w:rFonts w:cs="仿宋_GB2312"/>
        </w:rPr>
      </w:pPr>
    </w:p>
    <w:tbl>
      <w:tblPr>
        <w:tblStyle w:val="14"/>
        <w:tblW w:w="9005" w:type="dxa"/>
        <w:jc w:val="center"/>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Layout w:type="fixed"/>
        <w:tblCellMar>
          <w:top w:w="0" w:type="dxa"/>
          <w:left w:w="108" w:type="dxa"/>
          <w:bottom w:w="0" w:type="dxa"/>
          <w:right w:w="108" w:type="dxa"/>
        </w:tblCellMar>
      </w:tblPr>
      <w:tblGrid>
        <w:gridCol w:w="1550"/>
        <w:gridCol w:w="2454"/>
        <w:gridCol w:w="1560"/>
        <w:gridCol w:w="1305"/>
        <w:gridCol w:w="1290"/>
        <w:gridCol w:w="846"/>
      </w:tblGrid>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884" w:hRule="atLeast"/>
          <w:jc w:val="center"/>
        </w:trPr>
        <w:tc>
          <w:tcPr>
            <w:tcW w:w="1550" w:type="dxa"/>
            <w:tcBorders>
              <w:top w:val="double" w:color="000000" w:sz="6" w:space="0"/>
              <w:left w:val="double" w:color="000000" w:sz="6" w:space="0"/>
              <w:bottom w:val="double" w:color="000000" w:sz="2" w:space="0"/>
              <w:right w:val="double" w:color="000000" w:sz="2" w:space="0"/>
            </w:tcBorders>
            <w:vAlign w:val="center"/>
          </w:tcPr>
          <w:p>
            <w:pPr>
              <w:spacing w:line="288" w:lineRule="auto"/>
              <w:jc w:val="center"/>
              <w:rPr>
                <w:rFonts w:cs="仿宋_GB2312"/>
              </w:rPr>
            </w:pPr>
            <w:r>
              <w:t>项目名称</w:t>
            </w:r>
          </w:p>
        </w:tc>
        <w:tc>
          <w:tcPr>
            <w:tcW w:w="2454" w:type="dxa"/>
            <w:tcBorders>
              <w:top w:val="double" w:color="000000" w:sz="6" w:space="0"/>
              <w:left w:val="double" w:color="000000" w:sz="2" w:space="0"/>
              <w:bottom w:val="double" w:color="000000" w:sz="2" w:space="0"/>
              <w:right w:val="double" w:color="000000" w:sz="2" w:space="0"/>
            </w:tcBorders>
            <w:vAlign w:val="center"/>
          </w:tcPr>
          <w:p>
            <w:pPr>
              <w:spacing w:line="288" w:lineRule="auto"/>
              <w:jc w:val="center"/>
              <w:rPr>
                <w:rFonts w:cs="仿宋_GB2312"/>
              </w:rPr>
            </w:pPr>
            <w:r>
              <w:rPr>
                <w:rFonts w:hint="eastAsia" w:cs="仿宋_GB2312"/>
              </w:rPr>
              <w:t>项目内容</w:t>
            </w:r>
          </w:p>
        </w:tc>
        <w:tc>
          <w:tcPr>
            <w:tcW w:w="1560" w:type="dxa"/>
            <w:tcBorders>
              <w:top w:val="double" w:color="000000" w:sz="6" w:space="0"/>
              <w:left w:val="double" w:color="auto" w:sz="4" w:space="0"/>
              <w:bottom w:val="double" w:color="000000" w:sz="2" w:space="0"/>
              <w:right w:val="double" w:color="000000" w:sz="2" w:space="0"/>
            </w:tcBorders>
            <w:vAlign w:val="center"/>
          </w:tcPr>
          <w:p>
            <w:pPr>
              <w:spacing w:line="288" w:lineRule="auto"/>
              <w:jc w:val="center"/>
              <w:rPr>
                <w:rFonts w:cs="仿宋_GB2312"/>
              </w:rPr>
            </w:pPr>
            <w:r>
              <w:rPr>
                <w:rFonts w:hint="eastAsia" w:cs="仿宋_GB2312"/>
                <w:lang w:val="en-US" w:eastAsia="zh-CN"/>
              </w:rPr>
              <w:t>单价</w:t>
            </w:r>
            <w:r>
              <w:rPr>
                <w:rFonts w:hint="eastAsia" w:cs="仿宋_GB2312"/>
              </w:rPr>
              <w:t>报价（小写）</w:t>
            </w:r>
          </w:p>
        </w:tc>
        <w:tc>
          <w:tcPr>
            <w:tcW w:w="1305" w:type="dxa"/>
            <w:tcBorders>
              <w:top w:val="double" w:color="000000" w:sz="6" w:space="0"/>
              <w:left w:val="double" w:color="auto" w:sz="4" w:space="0"/>
              <w:bottom w:val="double" w:color="000000" w:sz="2" w:space="0"/>
              <w:right w:val="double" w:color="000000" w:sz="2" w:space="0"/>
            </w:tcBorders>
            <w:vAlign w:val="center"/>
          </w:tcPr>
          <w:p>
            <w:pPr>
              <w:spacing w:line="288" w:lineRule="auto"/>
              <w:jc w:val="center"/>
              <w:rPr>
                <w:rFonts w:hint="eastAsia" w:eastAsia="宋体" w:cs="仿宋_GB2312"/>
                <w:lang w:val="en-US" w:eastAsia="zh-CN"/>
              </w:rPr>
            </w:pPr>
            <w:r>
              <w:rPr>
                <w:rFonts w:hint="eastAsia" w:cs="仿宋_GB2312"/>
                <w:lang w:val="en-US" w:eastAsia="zh-CN"/>
              </w:rPr>
              <w:t>数量（只）</w:t>
            </w:r>
          </w:p>
        </w:tc>
        <w:tc>
          <w:tcPr>
            <w:tcW w:w="1290" w:type="dxa"/>
            <w:tcBorders>
              <w:top w:val="double" w:color="000000" w:sz="6" w:space="0"/>
              <w:left w:val="double" w:color="auto" w:sz="4" w:space="0"/>
              <w:bottom w:val="double" w:color="000000" w:sz="2" w:space="0"/>
              <w:right w:val="double" w:color="000000" w:sz="2" w:space="0"/>
            </w:tcBorders>
            <w:vAlign w:val="center"/>
          </w:tcPr>
          <w:p>
            <w:pPr>
              <w:spacing w:line="288" w:lineRule="auto"/>
              <w:jc w:val="center"/>
              <w:rPr>
                <w:rFonts w:hint="eastAsia" w:cs="仿宋_GB2312"/>
              </w:rPr>
            </w:pPr>
            <w:r>
              <w:rPr>
                <w:rFonts w:hint="eastAsia" w:cs="仿宋_GB2312"/>
              </w:rPr>
              <w:t>工程质量</w:t>
            </w:r>
          </w:p>
        </w:tc>
        <w:tc>
          <w:tcPr>
            <w:tcW w:w="846" w:type="dxa"/>
            <w:tcBorders>
              <w:top w:val="double" w:color="000000" w:sz="6" w:space="0"/>
              <w:left w:val="double" w:color="auto" w:sz="4" w:space="0"/>
              <w:bottom w:val="double" w:color="000000" w:sz="2" w:space="0"/>
              <w:right w:val="double" w:color="000000" w:sz="2" w:space="0"/>
            </w:tcBorders>
            <w:vAlign w:val="center"/>
          </w:tcPr>
          <w:p>
            <w:pPr>
              <w:spacing w:line="288" w:lineRule="auto"/>
              <w:jc w:val="center"/>
              <w:rPr>
                <w:rFonts w:cs="仿宋_GB2312"/>
              </w:rPr>
            </w:pPr>
            <w:r>
              <w:rPr>
                <w:rFonts w:hint="eastAsia" w:cs="仿宋_GB2312"/>
              </w:rPr>
              <w:t>工期</w:t>
            </w:r>
          </w:p>
        </w:tc>
      </w:tr>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1476" w:hRule="atLeast"/>
          <w:jc w:val="center"/>
        </w:trPr>
        <w:tc>
          <w:tcPr>
            <w:tcW w:w="1550" w:type="dxa"/>
            <w:tcBorders>
              <w:top w:val="double" w:color="000000" w:sz="2" w:space="0"/>
              <w:left w:val="double" w:color="000000" w:sz="6" w:space="0"/>
              <w:bottom w:val="double" w:color="000000" w:sz="2" w:space="0"/>
              <w:right w:val="double" w:color="000000" w:sz="2" w:space="0"/>
            </w:tcBorders>
            <w:vAlign w:val="center"/>
          </w:tcPr>
          <w:p>
            <w:pPr>
              <w:spacing w:line="288" w:lineRule="auto"/>
              <w:rPr>
                <w:rFonts w:hint="eastAsia" w:eastAsia="宋体" w:cs="仿宋_GB2312"/>
                <w:lang w:eastAsia="zh-CN"/>
              </w:rPr>
            </w:pPr>
            <w:r>
              <w:rPr>
                <w:rFonts w:hint="eastAsia"/>
                <w:lang w:eastAsia="zh-CN"/>
              </w:rPr>
              <w:t>学生宿舍用床改造项目</w:t>
            </w:r>
          </w:p>
        </w:tc>
        <w:tc>
          <w:tcPr>
            <w:tcW w:w="2454" w:type="dxa"/>
            <w:tcBorders>
              <w:top w:val="double" w:color="000000" w:sz="2" w:space="0"/>
              <w:left w:val="double" w:color="000000" w:sz="2" w:space="0"/>
              <w:bottom w:val="double" w:color="000000" w:sz="2" w:space="0"/>
              <w:right w:val="double" w:color="000000" w:sz="2" w:space="0"/>
            </w:tcBorders>
            <w:vAlign w:val="center"/>
          </w:tcPr>
          <w:p>
            <w:pPr>
              <w:spacing w:line="288" w:lineRule="auto"/>
              <w:jc w:val="center"/>
              <w:rPr>
                <w:rFonts w:cs="仿宋_GB2312"/>
              </w:rPr>
            </w:pPr>
            <w:r>
              <w:rPr>
                <w:rFonts w:hint="eastAsia" w:cs="仿宋_GB2312"/>
              </w:rPr>
              <w:t>详见</w:t>
            </w:r>
            <w:r>
              <w:rPr>
                <w:rFonts w:hint="eastAsia"/>
              </w:rPr>
              <w:t>《谈判文件》附：1、《项目要求》</w:t>
            </w:r>
          </w:p>
        </w:tc>
        <w:tc>
          <w:tcPr>
            <w:tcW w:w="1560" w:type="dxa"/>
            <w:tcBorders>
              <w:top w:val="double" w:color="000000" w:sz="2" w:space="0"/>
              <w:left w:val="double" w:color="auto" w:sz="4" w:space="0"/>
              <w:bottom w:val="double" w:color="000000" w:sz="2" w:space="0"/>
              <w:right w:val="double" w:color="000000" w:sz="2" w:space="0"/>
            </w:tcBorders>
            <w:vAlign w:val="center"/>
          </w:tcPr>
          <w:p>
            <w:pPr>
              <w:spacing w:line="288" w:lineRule="auto"/>
              <w:jc w:val="center"/>
              <w:rPr>
                <w:rFonts w:cs="仿宋_GB2312"/>
              </w:rPr>
            </w:pPr>
          </w:p>
        </w:tc>
        <w:tc>
          <w:tcPr>
            <w:tcW w:w="1305" w:type="dxa"/>
            <w:tcBorders>
              <w:top w:val="double" w:color="000000" w:sz="2" w:space="0"/>
              <w:left w:val="double" w:color="auto" w:sz="4" w:space="0"/>
              <w:bottom w:val="double" w:color="000000" w:sz="2" w:space="0"/>
              <w:right w:val="double" w:color="000000" w:sz="2" w:space="0"/>
            </w:tcBorders>
            <w:vAlign w:val="center"/>
          </w:tcPr>
          <w:p>
            <w:pPr>
              <w:spacing w:line="288" w:lineRule="auto"/>
              <w:jc w:val="center"/>
              <w:rPr>
                <w:rFonts w:hint="default" w:eastAsia="宋体" w:cs="仿宋_GB2312"/>
                <w:lang w:val="en-US" w:eastAsia="zh-CN"/>
              </w:rPr>
            </w:pPr>
            <w:r>
              <w:rPr>
                <w:rFonts w:hint="eastAsia" w:cs="仿宋_GB2312"/>
                <w:lang w:val="en-US" w:eastAsia="zh-CN"/>
              </w:rPr>
              <w:t>2719</w:t>
            </w:r>
          </w:p>
        </w:tc>
        <w:tc>
          <w:tcPr>
            <w:tcW w:w="1290" w:type="dxa"/>
            <w:tcBorders>
              <w:top w:val="double" w:color="000000" w:sz="2" w:space="0"/>
              <w:left w:val="double" w:color="auto" w:sz="4" w:space="0"/>
              <w:bottom w:val="double" w:color="000000" w:sz="2" w:space="0"/>
              <w:right w:val="double" w:color="000000" w:sz="2" w:space="0"/>
            </w:tcBorders>
            <w:vAlign w:val="center"/>
          </w:tcPr>
          <w:p>
            <w:pPr>
              <w:spacing w:line="288" w:lineRule="auto"/>
              <w:jc w:val="center"/>
              <w:rPr>
                <w:rFonts w:cs="仿宋_GB2312"/>
              </w:rPr>
            </w:pPr>
          </w:p>
        </w:tc>
        <w:tc>
          <w:tcPr>
            <w:tcW w:w="846" w:type="dxa"/>
            <w:tcBorders>
              <w:top w:val="double" w:color="000000" w:sz="2" w:space="0"/>
              <w:left w:val="double" w:color="auto" w:sz="4" w:space="0"/>
              <w:bottom w:val="double" w:color="000000" w:sz="2" w:space="0"/>
              <w:right w:val="double" w:color="000000" w:sz="2" w:space="0"/>
            </w:tcBorders>
            <w:vAlign w:val="center"/>
          </w:tcPr>
          <w:p>
            <w:pPr>
              <w:spacing w:line="288" w:lineRule="auto"/>
              <w:jc w:val="center"/>
              <w:rPr>
                <w:rFonts w:cs="仿宋_GB2312"/>
              </w:rPr>
            </w:pPr>
          </w:p>
        </w:tc>
      </w:tr>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923" w:hRule="atLeast"/>
          <w:jc w:val="center"/>
        </w:trPr>
        <w:tc>
          <w:tcPr>
            <w:tcW w:w="1550" w:type="dxa"/>
            <w:tcBorders>
              <w:top w:val="double" w:color="000000" w:sz="2" w:space="0"/>
              <w:left w:val="double" w:color="000000" w:sz="6" w:space="0"/>
              <w:bottom w:val="double" w:color="000000" w:sz="2" w:space="0"/>
              <w:right w:val="double" w:color="000000" w:sz="2" w:space="0"/>
            </w:tcBorders>
            <w:vAlign w:val="center"/>
          </w:tcPr>
          <w:p>
            <w:pPr>
              <w:spacing w:line="288" w:lineRule="auto"/>
              <w:jc w:val="center"/>
              <w:rPr>
                <w:rFonts w:cs="仿宋_GB2312"/>
              </w:rPr>
            </w:pPr>
            <w:r>
              <w:rPr>
                <w:rFonts w:hint="eastAsia"/>
                <w:lang w:val="en-US" w:eastAsia="zh-CN"/>
              </w:rPr>
              <w:t>总价</w:t>
            </w:r>
            <w:r>
              <w:rPr>
                <w:rFonts w:hint="eastAsia"/>
              </w:rPr>
              <w:t>报价</w:t>
            </w:r>
            <w:r>
              <w:rPr>
                <w:rFonts w:hint="eastAsia" w:cs="仿宋_GB2312"/>
              </w:rPr>
              <w:t>（大写）</w:t>
            </w:r>
          </w:p>
        </w:tc>
        <w:tc>
          <w:tcPr>
            <w:tcW w:w="7455" w:type="dxa"/>
            <w:gridSpan w:val="5"/>
            <w:tcBorders>
              <w:top w:val="double" w:color="000000" w:sz="2" w:space="0"/>
              <w:left w:val="double" w:color="000000" w:sz="2" w:space="0"/>
              <w:bottom w:val="double" w:color="000000" w:sz="2" w:space="0"/>
              <w:right w:val="double" w:color="000000" w:sz="2" w:space="0"/>
            </w:tcBorders>
            <w:vAlign w:val="center"/>
          </w:tcPr>
          <w:p>
            <w:pPr>
              <w:spacing w:line="288" w:lineRule="auto"/>
            </w:pPr>
          </w:p>
        </w:tc>
      </w:tr>
    </w:tbl>
    <w:p>
      <w:pPr>
        <w:spacing w:line="288" w:lineRule="auto"/>
        <w:rPr>
          <w:rFonts w:cs="仿宋_GB2312"/>
        </w:rPr>
      </w:pPr>
    </w:p>
    <w:p>
      <w:pPr>
        <w:spacing w:line="288" w:lineRule="auto"/>
      </w:pPr>
      <w:r>
        <w:rPr>
          <w:rFonts w:hint="eastAsia"/>
        </w:rPr>
        <w:t>供应商报价说明：</w:t>
      </w:r>
    </w:p>
    <w:p>
      <w:pPr>
        <w:spacing w:line="288" w:lineRule="auto"/>
        <w:ind w:right="-1202" w:rightChars="-501" w:firstLine="480" w:firstLineChars="200"/>
      </w:pPr>
      <w:r>
        <w:rPr>
          <w:rFonts w:hint="eastAsia"/>
        </w:rPr>
        <w:t>1、</w:t>
      </w:r>
      <w:r>
        <w:rPr>
          <w:rFonts w:hint="eastAsia"/>
          <w:bCs/>
        </w:rPr>
        <w:t>报价包括竣工验收等全部费用。采购人不需再支付报价以外的任何费用。</w:t>
      </w:r>
    </w:p>
    <w:p>
      <w:pPr>
        <w:spacing w:line="288" w:lineRule="auto"/>
        <w:ind w:firstLine="480" w:firstLineChars="200"/>
      </w:pPr>
      <w:r>
        <w:rPr>
          <w:rFonts w:hint="eastAsia"/>
        </w:rPr>
        <w:t>2、偏离说明：详见《偏离表》。</w:t>
      </w:r>
    </w:p>
    <w:p>
      <w:pPr>
        <w:spacing w:line="288" w:lineRule="auto"/>
        <w:ind w:firstLine="480" w:firstLineChars="200"/>
      </w:pPr>
      <w:r>
        <w:rPr>
          <w:rFonts w:hint="eastAsia"/>
        </w:rPr>
        <w:t>3、报价大小写不一致以大写为准。</w:t>
      </w:r>
    </w:p>
    <w:p>
      <w:pPr>
        <w:spacing w:line="288" w:lineRule="auto"/>
        <w:ind w:firstLine="480" w:firstLineChars="200"/>
      </w:pPr>
      <w:r>
        <w:rPr>
          <w:rFonts w:hint="eastAsia"/>
        </w:rPr>
        <w:t>4、最终报价表不放在首次提交响应文件中。</w:t>
      </w:r>
    </w:p>
    <w:p>
      <w:pPr>
        <w:spacing w:line="288" w:lineRule="auto"/>
        <w:rPr>
          <w:rFonts w:cs="仿宋_GB2312"/>
        </w:rPr>
      </w:pPr>
      <w:r>
        <w:rPr>
          <w:rFonts w:hint="eastAsia" w:cs="仿宋_GB2312"/>
        </w:rPr>
        <w:t xml:space="preserve">  </w:t>
      </w:r>
    </w:p>
    <w:p>
      <w:pPr>
        <w:spacing w:line="288" w:lineRule="auto"/>
        <w:ind w:firstLine="480" w:firstLineChars="200"/>
        <w:rPr>
          <w:rFonts w:cs="仿宋_GB2312"/>
        </w:rPr>
      </w:pPr>
    </w:p>
    <w:p>
      <w:pPr>
        <w:spacing w:line="288" w:lineRule="auto"/>
        <w:rPr>
          <w:rFonts w:cs="仿宋_GB2312"/>
        </w:rPr>
      </w:pPr>
      <w:r>
        <w:rPr>
          <w:rFonts w:hint="eastAsia" w:cs="仿宋_GB2312"/>
        </w:rPr>
        <w:t>供应商名称：　　　　　　　　　　　　　　　</w:t>
      </w:r>
    </w:p>
    <w:p>
      <w:pPr>
        <w:spacing w:line="288" w:lineRule="auto"/>
        <w:rPr>
          <w:rFonts w:cs="仿宋_GB2312"/>
        </w:rPr>
      </w:pPr>
    </w:p>
    <w:p>
      <w:pPr>
        <w:spacing w:line="288" w:lineRule="auto"/>
        <w:rPr>
          <w:rFonts w:cs="仿宋_GB2312"/>
        </w:rPr>
      </w:pPr>
      <w:r>
        <w:rPr>
          <w:rFonts w:hint="eastAsia" w:cs="仿宋_GB2312"/>
        </w:rPr>
        <w:t>供应商公章：</w:t>
      </w:r>
    </w:p>
    <w:p>
      <w:pPr>
        <w:spacing w:line="288" w:lineRule="auto"/>
        <w:rPr>
          <w:rFonts w:cs="仿宋_GB2312"/>
        </w:rPr>
      </w:pPr>
    </w:p>
    <w:p>
      <w:pPr>
        <w:spacing w:line="288" w:lineRule="auto"/>
        <w:rPr>
          <w:rFonts w:cs="仿宋_GB2312"/>
        </w:rPr>
      </w:pPr>
      <w:r>
        <w:rPr>
          <w:rFonts w:hint="eastAsia" w:cs="仿宋_GB2312"/>
        </w:rPr>
        <w:t xml:space="preserve">谈判代表（授权人）签字：                      </w:t>
      </w:r>
    </w:p>
    <w:p>
      <w:pPr>
        <w:spacing w:line="288" w:lineRule="auto"/>
        <w:rPr>
          <w:rFonts w:cs="仿宋_GB2312"/>
        </w:rPr>
      </w:pPr>
    </w:p>
    <w:p>
      <w:pPr>
        <w:spacing w:line="288" w:lineRule="auto"/>
        <w:rPr>
          <w:rFonts w:cs="仿宋_GB2312"/>
        </w:rPr>
      </w:pPr>
      <w:r>
        <w:rPr>
          <w:rFonts w:hint="eastAsia" w:cs="仿宋_GB2312"/>
        </w:rPr>
        <w:t>报价时间：    年  月  日</w:t>
      </w:r>
    </w:p>
    <w:p>
      <w:pPr>
        <w:spacing w:line="288" w:lineRule="auto"/>
      </w:pPr>
    </w:p>
    <w:p>
      <w:pPr>
        <w:pStyle w:val="9"/>
        <w:ind w:left="480"/>
      </w:pPr>
    </w:p>
    <w:p>
      <w:pPr>
        <w:pStyle w:val="9"/>
        <w:ind w:left="480"/>
      </w:pPr>
    </w:p>
    <w:p>
      <w:pPr>
        <w:pStyle w:val="9"/>
        <w:ind w:left="480"/>
      </w:pPr>
    </w:p>
    <w:p>
      <w:pPr>
        <w:tabs>
          <w:tab w:val="center" w:pos="4200"/>
        </w:tabs>
        <w:spacing w:line="24" w:lineRule="atLeast"/>
        <w:rPr>
          <w:b/>
        </w:rPr>
      </w:pPr>
      <w:r>
        <w:rPr>
          <w:rFonts w:hint="eastAsia"/>
          <w:b/>
        </w:rPr>
        <w:t>此表无需密封、无需装订，由投标代表在招标部门的组织下现场统一填写。</w:t>
      </w:r>
    </w:p>
    <w:p>
      <w:pPr>
        <w:pStyle w:val="9"/>
        <w:ind w:left="480"/>
        <w:sectPr>
          <w:pgSz w:w="11906" w:h="16838"/>
          <w:pgMar w:top="1440" w:right="1800" w:bottom="1440" w:left="1800" w:header="851" w:footer="992" w:gutter="0"/>
          <w:cols w:space="720" w:num="1"/>
          <w:docGrid w:type="lines" w:linePitch="312" w:charSpace="0"/>
        </w:sectPr>
      </w:pPr>
    </w:p>
    <w:p>
      <w:pPr>
        <w:pStyle w:val="4"/>
      </w:pPr>
      <w:r>
        <w:rPr>
          <w:rFonts w:hint="eastAsia"/>
        </w:rPr>
        <w:t>4、主要材料（设备）一览表</w:t>
      </w:r>
    </w:p>
    <w:p>
      <w:pPr>
        <w:spacing w:line="288" w:lineRule="auto"/>
        <w:rPr>
          <w:rFonts w:hint="eastAsia" w:eastAsia="宋体"/>
          <w:b/>
          <w:sz w:val="36"/>
          <w:lang w:eastAsia="zh-CN"/>
        </w:rPr>
      </w:pPr>
      <w:r>
        <w:rPr>
          <w:rFonts w:hint="eastAsia"/>
        </w:rPr>
        <w:t>项目编号：</w:t>
      </w:r>
      <w:r>
        <w:rPr>
          <w:rFonts w:hint="eastAsia" w:cs="仿宋_GB2312"/>
          <w:bCs/>
          <w:lang w:eastAsia="zh-CN"/>
        </w:rPr>
        <w:t>徐生采（2023）xzsw1102</w:t>
      </w:r>
    </w:p>
    <w:tbl>
      <w:tblPr>
        <w:tblStyle w:val="14"/>
        <w:tblpPr w:leftFromText="180" w:rightFromText="180" w:vertAnchor="page" w:horzAnchor="page" w:tblpX="990" w:tblpY="3188"/>
        <w:tblW w:w="0" w:type="auto"/>
        <w:tblInd w:w="0" w:type="dxa"/>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5"/>
        <w:gridCol w:w="1080"/>
        <w:gridCol w:w="1605"/>
        <w:gridCol w:w="1275"/>
        <w:gridCol w:w="1260"/>
        <w:gridCol w:w="1875"/>
        <w:gridCol w:w="1185"/>
        <w:gridCol w:w="1260"/>
      </w:tblGrid>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trPr>
        <w:tc>
          <w:tcPr>
            <w:tcW w:w="555" w:type="dxa"/>
            <w:shd w:val="clear" w:color="auto" w:fill="C0C0C0"/>
            <w:tcMar>
              <w:top w:w="15" w:type="dxa"/>
              <w:left w:w="15" w:type="dxa"/>
              <w:bottom w:w="0" w:type="dxa"/>
              <w:right w:w="15" w:type="dxa"/>
            </w:tcMar>
            <w:vAlign w:val="center"/>
          </w:tcPr>
          <w:p>
            <w:pPr>
              <w:spacing w:line="288" w:lineRule="auto"/>
              <w:jc w:val="center"/>
              <w:rPr>
                <w:sz w:val="20"/>
                <w:szCs w:val="20"/>
              </w:rPr>
            </w:pPr>
            <w:r>
              <w:rPr>
                <w:rFonts w:hint="eastAsia"/>
                <w:sz w:val="20"/>
                <w:szCs w:val="20"/>
              </w:rPr>
              <w:t>序号</w:t>
            </w:r>
          </w:p>
        </w:tc>
        <w:tc>
          <w:tcPr>
            <w:tcW w:w="1080" w:type="dxa"/>
            <w:shd w:val="clear" w:color="auto" w:fill="C0C0C0"/>
            <w:tcMar>
              <w:top w:w="15" w:type="dxa"/>
              <w:left w:w="15" w:type="dxa"/>
              <w:bottom w:w="0" w:type="dxa"/>
              <w:right w:w="15" w:type="dxa"/>
            </w:tcMar>
            <w:vAlign w:val="center"/>
          </w:tcPr>
          <w:p>
            <w:pPr>
              <w:spacing w:line="288" w:lineRule="auto"/>
              <w:jc w:val="center"/>
              <w:rPr>
                <w:sz w:val="20"/>
                <w:szCs w:val="20"/>
              </w:rPr>
            </w:pPr>
            <w:r>
              <w:rPr>
                <w:rFonts w:hint="eastAsia"/>
                <w:sz w:val="20"/>
                <w:szCs w:val="20"/>
              </w:rPr>
              <w:t>材料编码</w:t>
            </w:r>
          </w:p>
        </w:tc>
        <w:tc>
          <w:tcPr>
            <w:tcW w:w="1605" w:type="dxa"/>
            <w:shd w:val="clear" w:color="auto" w:fill="C0C0C0"/>
            <w:tcMar>
              <w:top w:w="15" w:type="dxa"/>
              <w:left w:w="15" w:type="dxa"/>
              <w:bottom w:w="0" w:type="dxa"/>
              <w:right w:w="15" w:type="dxa"/>
            </w:tcMar>
            <w:vAlign w:val="center"/>
          </w:tcPr>
          <w:p>
            <w:pPr>
              <w:spacing w:line="288" w:lineRule="auto"/>
              <w:jc w:val="center"/>
              <w:rPr>
                <w:sz w:val="20"/>
                <w:szCs w:val="20"/>
              </w:rPr>
            </w:pPr>
            <w:r>
              <w:rPr>
                <w:rFonts w:hint="eastAsia"/>
                <w:sz w:val="20"/>
                <w:szCs w:val="20"/>
              </w:rPr>
              <w:t>材料（设备）名称</w:t>
            </w:r>
          </w:p>
        </w:tc>
        <w:tc>
          <w:tcPr>
            <w:tcW w:w="1275" w:type="dxa"/>
            <w:shd w:val="clear" w:color="auto" w:fill="C0C0C0"/>
            <w:tcMar>
              <w:top w:w="15" w:type="dxa"/>
              <w:left w:w="15" w:type="dxa"/>
              <w:bottom w:w="0" w:type="dxa"/>
              <w:right w:w="15" w:type="dxa"/>
            </w:tcMar>
            <w:vAlign w:val="center"/>
          </w:tcPr>
          <w:p>
            <w:pPr>
              <w:spacing w:line="288" w:lineRule="auto"/>
              <w:jc w:val="center"/>
              <w:rPr>
                <w:sz w:val="20"/>
                <w:szCs w:val="20"/>
              </w:rPr>
            </w:pPr>
            <w:r>
              <w:rPr>
                <w:rFonts w:hint="eastAsia"/>
                <w:sz w:val="20"/>
                <w:szCs w:val="20"/>
              </w:rPr>
              <w:t>品牌</w:t>
            </w:r>
          </w:p>
        </w:tc>
        <w:tc>
          <w:tcPr>
            <w:tcW w:w="1260" w:type="dxa"/>
            <w:shd w:val="clear" w:color="auto" w:fill="C0C0C0"/>
            <w:tcMar>
              <w:top w:w="15" w:type="dxa"/>
              <w:left w:w="15" w:type="dxa"/>
              <w:bottom w:w="0" w:type="dxa"/>
              <w:right w:w="15" w:type="dxa"/>
            </w:tcMar>
            <w:vAlign w:val="center"/>
          </w:tcPr>
          <w:p>
            <w:pPr>
              <w:spacing w:line="288" w:lineRule="auto"/>
              <w:jc w:val="center"/>
              <w:rPr>
                <w:sz w:val="20"/>
                <w:szCs w:val="20"/>
              </w:rPr>
            </w:pPr>
            <w:r>
              <w:rPr>
                <w:rFonts w:hint="eastAsia"/>
                <w:sz w:val="20"/>
                <w:szCs w:val="20"/>
              </w:rPr>
              <w:t>规格、型号</w:t>
            </w:r>
          </w:p>
        </w:tc>
        <w:tc>
          <w:tcPr>
            <w:tcW w:w="1875" w:type="dxa"/>
            <w:shd w:val="clear" w:color="auto" w:fill="C0C0C0"/>
            <w:tcMar>
              <w:top w:w="15" w:type="dxa"/>
              <w:left w:w="15" w:type="dxa"/>
              <w:bottom w:w="0" w:type="dxa"/>
              <w:right w:w="15" w:type="dxa"/>
            </w:tcMar>
            <w:vAlign w:val="center"/>
          </w:tcPr>
          <w:p>
            <w:pPr>
              <w:spacing w:line="288" w:lineRule="auto"/>
              <w:jc w:val="center"/>
              <w:rPr>
                <w:sz w:val="20"/>
                <w:szCs w:val="20"/>
              </w:rPr>
            </w:pPr>
            <w:r>
              <w:rPr>
                <w:rFonts w:hint="eastAsia"/>
                <w:sz w:val="20"/>
                <w:szCs w:val="20"/>
              </w:rPr>
              <w:t>产品制造企业名称</w:t>
            </w:r>
          </w:p>
        </w:tc>
        <w:tc>
          <w:tcPr>
            <w:tcW w:w="1185" w:type="dxa"/>
            <w:shd w:val="clear" w:color="auto" w:fill="C0C0C0"/>
            <w:tcMar>
              <w:top w:w="15" w:type="dxa"/>
              <w:left w:w="15" w:type="dxa"/>
              <w:bottom w:w="0" w:type="dxa"/>
              <w:right w:w="15" w:type="dxa"/>
            </w:tcMar>
            <w:vAlign w:val="center"/>
          </w:tcPr>
          <w:p>
            <w:pPr>
              <w:spacing w:line="288" w:lineRule="auto"/>
              <w:jc w:val="center"/>
              <w:rPr>
                <w:sz w:val="20"/>
                <w:szCs w:val="20"/>
              </w:rPr>
            </w:pPr>
            <w:r>
              <w:rPr>
                <w:rFonts w:hint="eastAsia"/>
                <w:sz w:val="20"/>
                <w:szCs w:val="20"/>
              </w:rPr>
              <w:t>单位</w:t>
            </w:r>
          </w:p>
        </w:tc>
        <w:tc>
          <w:tcPr>
            <w:tcW w:w="1260" w:type="dxa"/>
            <w:shd w:val="clear" w:color="auto" w:fill="C0C0C0"/>
            <w:tcMar>
              <w:top w:w="15" w:type="dxa"/>
              <w:left w:w="15" w:type="dxa"/>
              <w:bottom w:w="0" w:type="dxa"/>
              <w:right w:w="15" w:type="dxa"/>
            </w:tcMar>
            <w:vAlign w:val="center"/>
          </w:tcPr>
          <w:p>
            <w:pPr>
              <w:spacing w:line="288" w:lineRule="auto"/>
              <w:jc w:val="center"/>
              <w:rPr>
                <w:sz w:val="20"/>
                <w:szCs w:val="20"/>
              </w:rPr>
            </w:pPr>
            <w:r>
              <w:rPr>
                <w:rFonts w:hint="eastAsia"/>
                <w:sz w:val="20"/>
                <w:szCs w:val="20"/>
              </w:rPr>
              <w:t>备注</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55" w:type="dxa"/>
            <w:tcMar>
              <w:top w:w="15" w:type="dxa"/>
              <w:left w:w="15" w:type="dxa"/>
              <w:bottom w:w="0" w:type="dxa"/>
              <w:right w:w="15" w:type="dxa"/>
            </w:tcMar>
            <w:vAlign w:val="bottom"/>
          </w:tcPr>
          <w:p>
            <w:pPr>
              <w:spacing w:line="288" w:lineRule="auto"/>
              <w:jc w:val="center"/>
              <w:rPr>
                <w:sz w:val="20"/>
                <w:szCs w:val="20"/>
              </w:rPr>
            </w:pPr>
            <w:r>
              <w:rPr>
                <w:rFonts w:hint="eastAsia"/>
                <w:sz w:val="20"/>
                <w:szCs w:val="20"/>
              </w:rPr>
              <w:t>1</w:t>
            </w:r>
          </w:p>
        </w:tc>
        <w:tc>
          <w:tcPr>
            <w:tcW w:w="1080" w:type="dxa"/>
            <w:tcMar>
              <w:top w:w="15" w:type="dxa"/>
              <w:left w:w="15" w:type="dxa"/>
              <w:bottom w:w="0" w:type="dxa"/>
              <w:right w:w="15" w:type="dxa"/>
            </w:tcMar>
            <w:vAlign w:val="bottom"/>
          </w:tcPr>
          <w:p>
            <w:pPr>
              <w:spacing w:line="288" w:lineRule="auto"/>
              <w:jc w:val="center"/>
              <w:rPr>
                <w:rFonts w:cs="Arial"/>
                <w:sz w:val="20"/>
                <w:szCs w:val="20"/>
              </w:rPr>
            </w:pPr>
          </w:p>
        </w:tc>
        <w:tc>
          <w:tcPr>
            <w:tcW w:w="1605" w:type="dxa"/>
            <w:tcMar>
              <w:top w:w="15" w:type="dxa"/>
              <w:left w:w="15" w:type="dxa"/>
              <w:bottom w:w="0" w:type="dxa"/>
              <w:right w:w="15" w:type="dxa"/>
            </w:tcMar>
            <w:vAlign w:val="bottom"/>
          </w:tcPr>
          <w:p>
            <w:pPr>
              <w:spacing w:line="288" w:lineRule="auto"/>
              <w:jc w:val="center"/>
              <w:rPr>
                <w:sz w:val="20"/>
                <w:szCs w:val="20"/>
              </w:rPr>
            </w:pPr>
          </w:p>
        </w:tc>
        <w:tc>
          <w:tcPr>
            <w:tcW w:w="1275" w:type="dxa"/>
            <w:tcMar>
              <w:top w:w="15" w:type="dxa"/>
              <w:left w:w="15" w:type="dxa"/>
              <w:bottom w:w="0" w:type="dxa"/>
              <w:right w:w="15" w:type="dxa"/>
            </w:tcMar>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c>
          <w:tcPr>
            <w:tcW w:w="1875" w:type="dxa"/>
            <w:tcMar>
              <w:top w:w="15" w:type="dxa"/>
              <w:left w:w="15" w:type="dxa"/>
              <w:bottom w:w="0" w:type="dxa"/>
              <w:right w:w="15" w:type="dxa"/>
            </w:tcMar>
          </w:tcPr>
          <w:p>
            <w:pPr>
              <w:spacing w:line="288" w:lineRule="auto"/>
              <w:jc w:val="center"/>
              <w:rPr>
                <w:sz w:val="20"/>
                <w:szCs w:val="20"/>
              </w:rPr>
            </w:pPr>
          </w:p>
        </w:tc>
        <w:tc>
          <w:tcPr>
            <w:tcW w:w="1185" w:type="dxa"/>
            <w:tcMar>
              <w:top w:w="15" w:type="dxa"/>
              <w:left w:w="15" w:type="dxa"/>
              <w:bottom w:w="0" w:type="dxa"/>
              <w:right w:w="15" w:type="dxa"/>
            </w:tcMar>
            <w:vAlign w:val="bottom"/>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555" w:type="dxa"/>
            <w:tcMar>
              <w:top w:w="15" w:type="dxa"/>
              <w:left w:w="15" w:type="dxa"/>
              <w:bottom w:w="0" w:type="dxa"/>
              <w:right w:w="15" w:type="dxa"/>
            </w:tcMar>
            <w:vAlign w:val="bottom"/>
          </w:tcPr>
          <w:p>
            <w:pPr>
              <w:spacing w:line="288" w:lineRule="auto"/>
              <w:jc w:val="center"/>
              <w:rPr>
                <w:sz w:val="20"/>
                <w:szCs w:val="20"/>
              </w:rPr>
            </w:pPr>
            <w:r>
              <w:rPr>
                <w:rFonts w:hint="eastAsia"/>
                <w:sz w:val="20"/>
                <w:szCs w:val="20"/>
              </w:rPr>
              <w:t>2</w:t>
            </w:r>
          </w:p>
        </w:tc>
        <w:tc>
          <w:tcPr>
            <w:tcW w:w="1080" w:type="dxa"/>
            <w:tcMar>
              <w:top w:w="15" w:type="dxa"/>
              <w:left w:w="15" w:type="dxa"/>
              <w:bottom w:w="0" w:type="dxa"/>
              <w:right w:w="15" w:type="dxa"/>
            </w:tcMar>
            <w:vAlign w:val="bottom"/>
          </w:tcPr>
          <w:p>
            <w:pPr>
              <w:spacing w:line="288" w:lineRule="auto"/>
              <w:jc w:val="center"/>
              <w:rPr>
                <w:rFonts w:cs="Arial"/>
                <w:sz w:val="20"/>
                <w:szCs w:val="20"/>
              </w:rPr>
            </w:pPr>
          </w:p>
        </w:tc>
        <w:tc>
          <w:tcPr>
            <w:tcW w:w="1605" w:type="dxa"/>
            <w:tcMar>
              <w:top w:w="15" w:type="dxa"/>
              <w:left w:w="15" w:type="dxa"/>
              <w:bottom w:w="0" w:type="dxa"/>
              <w:right w:w="15" w:type="dxa"/>
            </w:tcMar>
            <w:vAlign w:val="bottom"/>
          </w:tcPr>
          <w:p>
            <w:pPr>
              <w:spacing w:line="288" w:lineRule="auto"/>
              <w:jc w:val="center"/>
              <w:rPr>
                <w:sz w:val="20"/>
                <w:szCs w:val="20"/>
              </w:rPr>
            </w:pPr>
          </w:p>
        </w:tc>
        <w:tc>
          <w:tcPr>
            <w:tcW w:w="1275" w:type="dxa"/>
            <w:tcMar>
              <w:top w:w="15" w:type="dxa"/>
              <w:left w:w="15" w:type="dxa"/>
              <w:bottom w:w="0" w:type="dxa"/>
              <w:right w:w="15" w:type="dxa"/>
            </w:tcMar>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c>
          <w:tcPr>
            <w:tcW w:w="1875" w:type="dxa"/>
            <w:tcMar>
              <w:top w:w="15" w:type="dxa"/>
              <w:left w:w="15" w:type="dxa"/>
              <w:bottom w:w="0" w:type="dxa"/>
              <w:right w:w="15" w:type="dxa"/>
            </w:tcMar>
          </w:tcPr>
          <w:p>
            <w:pPr>
              <w:spacing w:line="288" w:lineRule="auto"/>
              <w:jc w:val="center"/>
              <w:rPr>
                <w:sz w:val="20"/>
                <w:szCs w:val="20"/>
              </w:rPr>
            </w:pPr>
          </w:p>
        </w:tc>
        <w:tc>
          <w:tcPr>
            <w:tcW w:w="1185" w:type="dxa"/>
            <w:tcMar>
              <w:top w:w="15" w:type="dxa"/>
              <w:left w:w="15" w:type="dxa"/>
              <w:bottom w:w="0" w:type="dxa"/>
              <w:right w:w="15" w:type="dxa"/>
            </w:tcMar>
            <w:vAlign w:val="bottom"/>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555" w:type="dxa"/>
            <w:tcMar>
              <w:top w:w="15" w:type="dxa"/>
              <w:left w:w="15" w:type="dxa"/>
              <w:bottom w:w="0" w:type="dxa"/>
              <w:right w:w="15" w:type="dxa"/>
            </w:tcMar>
            <w:vAlign w:val="bottom"/>
          </w:tcPr>
          <w:p>
            <w:pPr>
              <w:spacing w:line="288" w:lineRule="auto"/>
              <w:jc w:val="center"/>
              <w:rPr>
                <w:sz w:val="20"/>
                <w:szCs w:val="20"/>
              </w:rPr>
            </w:pPr>
            <w:r>
              <w:rPr>
                <w:rFonts w:hint="eastAsia"/>
                <w:sz w:val="20"/>
                <w:szCs w:val="20"/>
              </w:rPr>
              <w:t>3</w:t>
            </w:r>
          </w:p>
        </w:tc>
        <w:tc>
          <w:tcPr>
            <w:tcW w:w="1080" w:type="dxa"/>
            <w:tcMar>
              <w:top w:w="15" w:type="dxa"/>
              <w:left w:w="15" w:type="dxa"/>
              <w:bottom w:w="0" w:type="dxa"/>
              <w:right w:w="15" w:type="dxa"/>
            </w:tcMar>
            <w:vAlign w:val="bottom"/>
          </w:tcPr>
          <w:p>
            <w:pPr>
              <w:spacing w:line="288" w:lineRule="auto"/>
              <w:jc w:val="center"/>
              <w:rPr>
                <w:rFonts w:cs="Arial"/>
                <w:sz w:val="20"/>
                <w:szCs w:val="20"/>
              </w:rPr>
            </w:pPr>
          </w:p>
        </w:tc>
        <w:tc>
          <w:tcPr>
            <w:tcW w:w="1605" w:type="dxa"/>
            <w:tcMar>
              <w:top w:w="15" w:type="dxa"/>
              <w:left w:w="15" w:type="dxa"/>
              <w:bottom w:w="0" w:type="dxa"/>
              <w:right w:w="15" w:type="dxa"/>
            </w:tcMar>
            <w:vAlign w:val="bottom"/>
          </w:tcPr>
          <w:p>
            <w:pPr>
              <w:spacing w:line="288" w:lineRule="auto"/>
              <w:jc w:val="center"/>
              <w:rPr>
                <w:sz w:val="20"/>
                <w:szCs w:val="20"/>
              </w:rPr>
            </w:pPr>
          </w:p>
        </w:tc>
        <w:tc>
          <w:tcPr>
            <w:tcW w:w="1275" w:type="dxa"/>
            <w:tcMar>
              <w:top w:w="15" w:type="dxa"/>
              <w:left w:w="15" w:type="dxa"/>
              <w:bottom w:w="0" w:type="dxa"/>
              <w:right w:w="15" w:type="dxa"/>
            </w:tcMar>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c>
          <w:tcPr>
            <w:tcW w:w="1875" w:type="dxa"/>
            <w:tcMar>
              <w:top w:w="15" w:type="dxa"/>
              <w:left w:w="15" w:type="dxa"/>
              <w:bottom w:w="0" w:type="dxa"/>
              <w:right w:w="15" w:type="dxa"/>
            </w:tcMar>
          </w:tcPr>
          <w:p>
            <w:pPr>
              <w:spacing w:line="288" w:lineRule="auto"/>
              <w:jc w:val="center"/>
              <w:rPr>
                <w:sz w:val="20"/>
                <w:szCs w:val="20"/>
              </w:rPr>
            </w:pPr>
          </w:p>
        </w:tc>
        <w:tc>
          <w:tcPr>
            <w:tcW w:w="1185" w:type="dxa"/>
            <w:tcMar>
              <w:top w:w="15" w:type="dxa"/>
              <w:left w:w="15" w:type="dxa"/>
              <w:bottom w:w="0" w:type="dxa"/>
              <w:right w:w="15" w:type="dxa"/>
            </w:tcMar>
            <w:vAlign w:val="bottom"/>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555" w:type="dxa"/>
            <w:tcMar>
              <w:top w:w="15" w:type="dxa"/>
              <w:left w:w="15" w:type="dxa"/>
              <w:bottom w:w="0" w:type="dxa"/>
              <w:right w:w="15" w:type="dxa"/>
            </w:tcMar>
            <w:vAlign w:val="bottom"/>
          </w:tcPr>
          <w:p>
            <w:pPr>
              <w:spacing w:line="288" w:lineRule="auto"/>
              <w:jc w:val="center"/>
              <w:rPr>
                <w:sz w:val="20"/>
                <w:szCs w:val="20"/>
              </w:rPr>
            </w:pPr>
            <w:r>
              <w:rPr>
                <w:rFonts w:hint="eastAsia"/>
                <w:sz w:val="20"/>
                <w:szCs w:val="20"/>
              </w:rPr>
              <w:t>4</w:t>
            </w:r>
          </w:p>
        </w:tc>
        <w:tc>
          <w:tcPr>
            <w:tcW w:w="1080" w:type="dxa"/>
            <w:tcMar>
              <w:top w:w="15" w:type="dxa"/>
              <w:left w:w="15" w:type="dxa"/>
              <w:bottom w:w="0" w:type="dxa"/>
              <w:right w:w="15" w:type="dxa"/>
            </w:tcMar>
            <w:vAlign w:val="bottom"/>
          </w:tcPr>
          <w:p>
            <w:pPr>
              <w:spacing w:line="288" w:lineRule="auto"/>
              <w:jc w:val="center"/>
              <w:rPr>
                <w:sz w:val="20"/>
                <w:szCs w:val="20"/>
              </w:rPr>
            </w:pPr>
          </w:p>
        </w:tc>
        <w:tc>
          <w:tcPr>
            <w:tcW w:w="1605" w:type="dxa"/>
            <w:tcMar>
              <w:top w:w="15" w:type="dxa"/>
              <w:left w:w="15" w:type="dxa"/>
              <w:bottom w:w="0" w:type="dxa"/>
              <w:right w:w="15" w:type="dxa"/>
            </w:tcMar>
            <w:vAlign w:val="bottom"/>
          </w:tcPr>
          <w:p>
            <w:pPr>
              <w:spacing w:line="288" w:lineRule="auto"/>
              <w:jc w:val="center"/>
              <w:rPr>
                <w:sz w:val="20"/>
                <w:szCs w:val="20"/>
              </w:rPr>
            </w:pPr>
          </w:p>
        </w:tc>
        <w:tc>
          <w:tcPr>
            <w:tcW w:w="1275" w:type="dxa"/>
            <w:tcMar>
              <w:top w:w="15" w:type="dxa"/>
              <w:left w:w="15" w:type="dxa"/>
              <w:bottom w:w="0" w:type="dxa"/>
              <w:right w:w="15" w:type="dxa"/>
            </w:tcMar>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c>
          <w:tcPr>
            <w:tcW w:w="1875" w:type="dxa"/>
            <w:tcMar>
              <w:top w:w="15" w:type="dxa"/>
              <w:left w:w="15" w:type="dxa"/>
              <w:bottom w:w="0" w:type="dxa"/>
              <w:right w:w="15" w:type="dxa"/>
            </w:tcMar>
          </w:tcPr>
          <w:p>
            <w:pPr>
              <w:spacing w:line="288" w:lineRule="auto"/>
              <w:jc w:val="center"/>
              <w:rPr>
                <w:sz w:val="20"/>
                <w:szCs w:val="20"/>
              </w:rPr>
            </w:pPr>
          </w:p>
        </w:tc>
        <w:tc>
          <w:tcPr>
            <w:tcW w:w="1185" w:type="dxa"/>
            <w:tcMar>
              <w:top w:w="15" w:type="dxa"/>
              <w:left w:w="15" w:type="dxa"/>
              <w:bottom w:w="0" w:type="dxa"/>
              <w:right w:w="15" w:type="dxa"/>
            </w:tcMar>
            <w:vAlign w:val="bottom"/>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55" w:type="dxa"/>
            <w:tcMar>
              <w:top w:w="15" w:type="dxa"/>
              <w:left w:w="15" w:type="dxa"/>
              <w:bottom w:w="0" w:type="dxa"/>
              <w:right w:w="15" w:type="dxa"/>
            </w:tcMar>
            <w:vAlign w:val="bottom"/>
          </w:tcPr>
          <w:p>
            <w:pPr>
              <w:spacing w:line="288" w:lineRule="auto"/>
              <w:jc w:val="center"/>
              <w:rPr>
                <w:sz w:val="20"/>
                <w:szCs w:val="20"/>
              </w:rPr>
            </w:pPr>
            <w:r>
              <w:rPr>
                <w:rFonts w:hint="eastAsia"/>
                <w:sz w:val="20"/>
                <w:szCs w:val="20"/>
              </w:rPr>
              <w:t>5</w:t>
            </w:r>
          </w:p>
        </w:tc>
        <w:tc>
          <w:tcPr>
            <w:tcW w:w="1080" w:type="dxa"/>
            <w:tcMar>
              <w:top w:w="15" w:type="dxa"/>
              <w:left w:w="15" w:type="dxa"/>
              <w:bottom w:w="0" w:type="dxa"/>
              <w:right w:w="15" w:type="dxa"/>
            </w:tcMar>
            <w:vAlign w:val="bottom"/>
          </w:tcPr>
          <w:p>
            <w:pPr>
              <w:spacing w:line="288" w:lineRule="auto"/>
              <w:jc w:val="center"/>
              <w:rPr>
                <w:sz w:val="20"/>
                <w:szCs w:val="20"/>
              </w:rPr>
            </w:pPr>
          </w:p>
        </w:tc>
        <w:tc>
          <w:tcPr>
            <w:tcW w:w="1605" w:type="dxa"/>
            <w:tcMar>
              <w:top w:w="15" w:type="dxa"/>
              <w:left w:w="15" w:type="dxa"/>
              <w:bottom w:w="0" w:type="dxa"/>
              <w:right w:w="15" w:type="dxa"/>
            </w:tcMar>
            <w:vAlign w:val="bottom"/>
          </w:tcPr>
          <w:p>
            <w:pPr>
              <w:spacing w:line="288" w:lineRule="auto"/>
              <w:jc w:val="center"/>
              <w:rPr>
                <w:sz w:val="20"/>
                <w:szCs w:val="20"/>
              </w:rPr>
            </w:pPr>
          </w:p>
        </w:tc>
        <w:tc>
          <w:tcPr>
            <w:tcW w:w="1275" w:type="dxa"/>
            <w:tcMar>
              <w:top w:w="15" w:type="dxa"/>
              <w:left w:w="15" w:type="dxa"/>
              <w:bottom w:w="0" w:type="dxa"/>
              <w:right w:w="15" w:type="dxa"/>
            </w:tcMar>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c>
          <w:tcPr>
            <w:tcW w:w="1875" w:type="dxa"/>
            <w:tcMar>
              <w:top w:w="15" w:type="dxa"/>
              <w:left w:w="15" w:type="dxa"/>
              <w:bottom w:w="0" w:type="dxa"/>
              <w:right w:w="15" w:type="dxa"/>
            </w:tcMar>
          </w:tcPr>
          <w:p>
            <w:pPr>
              <w:spacing w:line="288" w:lineRule="auto"/>
              <w:jc w:val="center"/>
              <w:rPr>
                <w:sz w:val="20"/>
                <w:szCs w:val="20"/>
              </w:rPr>
            </w:pPr>
          </w:p>
        </w:tc>
        <w:tc>
          <w:tcPr>
            <w:tcW w:w="1185" w:type="dxa"/>
            <w:tcMar>
              <w:top w:w="15" w:type="dxa"/>
              <w:left w:w="15" w:type="dxa"/>
              <w:bottom w:w="0" w:type="dxa"/>
              <w:right w:w="15" w:type="dxa"/>
            </w:tcMar>
            <w:vAlign w:val="bottom"/>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55" w:type="dxa"/>
            <w:tcMar>
              <w:top w:w="15" w:type="dxa"/>
              <w:left w:w="15" w:type="dxa"/>
              <w:bottom w:w="0" w:type="dxa"/>
              <w:right w:w="15" w:type="dxa"/>
            </w:tcMar>
            <w:vAlign w:val="bottom"/>
          </w:tcPr>
          <w:p>
            <w:pPr>
              <w:spacing w:line="288" w:lineRule="auto"/>
              <w:jc w:val="center"/>
              <w:rPr>
                <w:sz w:val="20"/>
                <w:szCs w:val="20"/>
              </w:rPr>
            </w:pPr>
            <w:r>
              <w:rPr>
                <w:rFonts w:hint="eastAsia"/>
                <w:sz w:val="20"/>
                <w:szCs w:val="20"/>
              </w:rPr>
              <w:t>6</w:t>
            </w:r>
          </w:p>
        </w:tc>
        <w:tc>
          <w:tcPr>
            <w:tcW w:w="1080" w:type="dxa"/>
            <w:tcMar>
              <w:top w:w="15" w:type="dxa"/>
              <w:left w:w="15" w:type="dxa"/>
              <w:bottom w:w="0" w:type="dxa"/>
              <w:right w:w="15" w:type="dxa"/>
            </w:tcMar>
            <w:vAlign w:val="bottom"/>
          </w:tcPr>
          <w:p>
            <w:pPr>
              <w:spacing w:line="288" w:lineRule="auto"/>
              <w:jc w:val="center"/>
              <w:rPr>
                <w:sz w:val="20"/>
                <w:szCs w:val="20"/>
              </w:rPr>
            </w:pPr>
          </w:p>
        </w:tc>
        <w:tc>
          <w:tcPr>
            <w:tcW w:w="1605" w:type="dxa"/>
            <w:tcMar>
              <w:top w:w="15" w:type="dxa"/>
              <w:left w:w="15" w:type="dxa"/>
              <w:bottom w:w="0" w:type="dxa"/>
              <w:right w:w="15" w:type="dxa"/>
            </w:tcMar>
            <w:vAlign w:val="bottom"/>
          </w:tcPr>
          <w:p>
            <w:pPr>
              <w:spacing w:line="288" w:lineRule="auto"/>
              <w:jc w:val="center"/>
              <w:rPr>
                <w:sz w:val="20"/>
                <w:szCs w:val="20"/>
              </w:rPr>
            </w:pPr>
          </w:p>
        </w:tc>
        <w:tc>
          <w:tcPr>
            <w:tcW w:w="1275" w:type="dxa"/>
            <w:tcMar>
              <w:top w:w="15" w:type="dxa"/>
              <w:left w:w="15" w:type="dxa"/>
              <w:bottom w:w="0" w:type="dxa"/>
              <w:right w:w="15" w:type="dxa"/>
            </w:tcMar>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c>
          <w:tcPr>
            <w:tcW w:w="1875" w:type="dxa"/>
            <w:tcMar>
              <w:top w:w="15" w:type="dxa"/>
              <w:left w:w="15" w:type="dxa"/>
              <w:bottom w:w="0" w:type="dxa"/>
              <w:right w:w="15" w:type="dxa"/>
            </w:tcMar>
          </w:tcPr>
          <w:p>
            <w:pPr>
              <w:spacing w:line="288" w:lineRule="auto"/>
              <w:jc w:val="center"/>
              <w:rPr>
                <w:sz w:val="20"/>
                <w:szCs w:val="20"/>
              </w:rPr>
            </w:pPr>
          </w:p>
        </w:tc>
        <w:tc>
          <w:tcPr>
            <w:tcW w:w="1185" w:type="dxa"/>
            <w:tcMar>
              <w:top w:w="15" w:type="dxa"/>
              <w:left w:w="15" w:type="dxa"/>
              <w:bottom w:w="0" w:type="dxa"/>
              <w:right w:w="15" w:type="dxa"/>
            </w:tcMar>
            <w:vAlign w:val="bottom"/>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r>
    </w:tbl>
    <w:p>
      <w:pPr>
        <w:spacing w:line="288" w:lineRule="auto"/>
      </w:pPr>
      <w:r>
        <w:rPr>
          <w:rFonts w:hint="eastAsia"/>
        </w:rPr>
        <w:t xml:space="preserve">  </w:t>
      </w:r>
    </w:p>
    <w:p>
      <w:pPr>
        <w:spacing w:line="288" w:lineRule="auto"/>
      </w:pPr>
    </w:p>
    <w:p>
      <w:pPr>
        <w:spacing w:line="288" w:lineRule="auto"/>
      </w:pPr>
    </w:p>
    <w:p>
      <w:pPr>
        <w:spacing w:line="288" w:lineRule="auto"/>
      </w:pPr>
      <w:r>
        <w:rPr>
          <w:rFonts w:hint="eastAsia"/>
        </w:rPr>
        <w:t>供应商名称：</w:t>
      </w:r>
      <w:r>
        <w:rPr>
          <w:rFonts w:hint="eastAsia"/>
          <w:u w:val="single"/>
        </w:rPr>
        <w:t xml:space="preserve">                                  </w:t>
      </w:r>
    </w:p>
    <w:p>
      <w:pPr>
        <w:spacing w:line="288" w:lineRule="auto"/>
      </w:pPr>
    </w:p>
    <w:p>
      <w:pPr>
        <w:spacing w:line="288" w:lineRule="auto"/>
      </w:pPr>
      <w:r>
        <w:rPr>
          <w:rFonts w:hint="eastAsia"/>
        </w:rPr>
        <w:t>供应商公章：</w:t>
      </w:r>
    </w:p>
    <w:p>
      <w:pPr>
        <w:spacing w:line="288" w:lineRule="auto"/>
      </w:pPr>
    </w:p>
    <w:p>
      <w:pPr>
        <w:spacing w:line="288" w:lineRule="auto"/>
        <w:rPr>
          <w:u w:val="single"/>
        </w:rPr>
      </w:pPr>
      <w:r>
        <w:rPr>
          <w:rFonts w:hint="eastAsia"/>
        </w:rPr>
        <w:t>谈判代表（授权人）签字：</w:t>
      </w:r>
      <w:r>
        <w:rPr>
          <w:rFonts w:hint="eastAsia"/>
          <w:u w:val="single"/>
        </w:rPr>
        <w:t xml:space="preserve">                      </w:t>
      </w:r>
    </w:p>
    <w:p>
      <w:pPr>
        <w:spacing w:line="288" w:lineRule="auto"/>
      </w:pPr>
    </w:p>
    <w:p>
      <w:pPr>
        <w:spacing w:line="288" w:lineRule="auto"/>
      </w:pPr>
    </w:p>
    <w:p>
      <w:pPr>
        <w:spacing w:line="288" w:lineRule="auto"/>
      </w:pPr>
    </w:p>
    <w:p>
      <w:pPr>
        <w:spacing w:line="288" w:lineRule="auto"/>
        <w:jc w:val="center"/>
      </w:pPr>
      <w:r>
        <w:rPr>
          <w:rFonts w:hint="eastAsia"/>
        </w:rPr>
        <w:t>注：1．</w:t>
      </w:r>
      <w:r>
        <w:rPr>
          <w:rFonts w:hint="eastAsia"/>
          <w:b/>
        </w:rPr>
        <w:t>如果不提供《主要材料（设备）一览表》将视为没有实质性响应</w:t>
      </w:r>
      <w:r>
        <w:rPr>
          <w:rFonts w:hint="eastAsia"/>
        </w:rPr>
        <w:t>。</w:t>
      </w:r>
    </w:p>
    <w:p>
      <w:pPr>
        <w:spacing w:line="288" w:lineRule="auto"/>
        <w:ind w:firstLine="480" w:firstLineChars="200"/>
      </w:pPr>
      <w:r>
        <w:rPr>
          <w:rFonts w:hint="eastAsia"/>
        </w:rPr>
        <w:t>2. 供应商</w:t>
      </w:r>
      <w:r>
        <w:t>对以上数据的真实性负责</w:t>
      </w:r>
      <w:r>
        <w:rPr>
          <w:rFonts w:hint="eastAsia"/>
        </w:rPr>
        <w:t>。</w:t>
      </w:r>
    </w:p>
    <w:p>
      <w:pPr>
        <w:spacing w:line="288" w:lineRule="auto"/>
        <w:ind w:firstLine="470" w:firstLineChars="196"/>
        <w:rPr>
          <w:i/>
          <w:u w:val="single"/>
        </w:rPr>
      </w:pPr>
      <w:r>
        <w:rPr>
          <w:rFonts w:hint="eastAsia"/>
          <w:i/>
          <w:u w:val="single"/>
        </w:rPr>
        <w:t>徐州生物工程职业技术学院</w:t>
      </w:r>
      <w:r>
        <w:rPr>
          <w:i/>
          <w:u w:val="single"/>
        </w:rPr>
        <w:t>有权将以上内容进行公示。</w:t>
      </w:r>
    </w:p>
    <w:p>
      <w:pPr>
        <w:spacing w:line="288" w:lineRule="auto"/>
        <w:rPr>
          <w:rFonts w:cs="仿宋_GB2312"/>
          <w:i/>
          <w:u w:val="single"/>
        </w:rPr>
      </w:pPr>
    </w:p>
    <w:p>
      <w:pPr>
        <w:pStyle w:val="4"/>
        <w:rPr>
          <w:rFonts w:cs="仿宋_GB2312"/>
          <w:bCs/>
          <w:sz w:val="30"/>
          <w:szCs w:val="30"/>
        </w:rPr>
      </w:pPr>
      <w:r>
        <w:rPr>
          <w:rFonts w:hint="eastAsia" w:cs="仿宋_GB2312"/>
          <w:i/>
          <w:u w:val="single"/>
        </w:rPr>
        <w:br w:type="page"/>
      </w:r>
      <w:r>
        <w:rPr>
          <w:rFonts w:hint="eastAsia" w:cs="仿宋_GB2312"/>
          <w:bCs/>
          <w:sz w:val="30"/>
          <w:szCs w:val="30"/>
        </w:rPr>
        <w:t>5、法人授权委托书</w:t>
      </w:r>
    </w:p>
    <w:p>
      <w:pPr>
        <w:spacing w:line="288" w:lineRule="auto"/>
        <w:rPr>
          <w:rFonts w:cs="仿宋_GB2312"/>
          <w:sz w:val="32"/>
        </w:rPr>
      </w:pPr>
    </w:p>
    <w:p>
      <w:pPr>
        <w:spacing w:line="288" w:lineRule="auto"/>
        <w:rPr>
          <w:rFonts w:cs="仿宋_GB2312"/>
        </w:rPr>
      </w:pPr>
      <w:r>
        <w:rPr>
          <w:rFonts w:hint="eastAsia" w:cs="仿宋_GB2312"/>
        </w:rPr>
        <w:t>委托人（全称）：</w:t>
      </w:r>
    </w:p>
    <w:p>
      <w:pPr>
        <w:spacing w:line="288" w:lineRule="auto"/>
        <w:rPr>
          <w:rFonts w:cs="仿宋_GB2312"/>
        </w:rPr>
      </w:pPr>
      <w:r>
        <w:rPr>
          <w:rFonts w:hint="eastAsia" w:cs="仿宋_GB2312"/>
        </w:rPr>
        <w:t>地  址：</w:t>
      </w:r>
    </w:p>
    <w:p>
      <w:pPr>
        <w:spacing w:line="288" w:lineRule="auto"/>
        <w:rPr>
          <w:rFonts w:cs="仿宋_GB2312"/>
        </w:rPr>
      </w:pPr>
      <w:r>
        <w:rPr>
          <w:rFonts w:hint="eastAsia" w:cs="仿宋_GB2312"/>
        </w:rPr>
        <w:t xml:space="preserve">法定代表人：               </w:t>
      </w:r>
    </w:p>
    <w:p>
      <w:pPr>
        <w:spacing w:line="288" w:lineRule="auto"/>
        <w:rPr>
          <w:rFonts w:cs="仿宋_GB2312"/>
        </w:rPr>
      </w:pPr>
      <w:r>
        <w:rPr>
          <w:rFonts w:hint="eastAsia" w:cs="仿宋_GB2312"/>
        </w:rPr>
        <w:t>法人营业执照注册号（统一社会信用代码）：</w:t>
      </w:r>
    </w:p>
    <w:p>
      <w:pPr>
        <w:spacing w:line="288" w:lineRule="auto"/>
        <w:rPr>
          <w:rFonts w:cs="仿宋_GB2312"/>
        </w:rPr>
      </w:pPr>
    </w:p>
    <w:p>
      <w:pPr>
        <w:spacing w:line="288" w:lineRule="auto"/>
        <w:rPr>
          <w:rFonts w:cs="仿宋_GB2312"/>
        </w:rPr>
      </w:pPr>
      <w:r>
        <w:rPr>
          <w:rFonts w:hint="eastAsia" w:cs="仿宋_GB2312"/>
        </w:rPr>
        <w:t>受托人：                  先生（女士）</w:t>
      </w:r>
    </w:p>
    <w:p>
      <w:pPr>
        <w:spacing w:line="288" w:lineRule="auto"/>
        <w:rPr>
          <w:rFonts w:cs="仿宋_GB2312"/>
        </w:rPr>
      </w:pPr>
      <w:r>
        <w:rPr>
          <w:rFonts w:hint="eastAsia" w:cs="仿宋_GB2312"/>
        </w:rPr>
        <w:t>身份证号：</w:t>
      </w:r>
    </w:p>
    <w:p>
      <w:pPr>
        <w:spacing w:line="288" w:lineRule="auto"/>
        <w:rPr>
          <w:rFonts w:cs="仿宋_GB2312"/>
        </w:rPr>
      </w:pPr>
    </w:p>
    <w:p>
      <w:pPr>
        <w:spacing w:line="288" w:lineRule="auto"/>
        <w:ind w:firstLine="708" w:firstLineChars="295"/>
        <w:rPr>
          <w:rFonts w:cs="仿宋_GB2312"/>
        </w:rPr>
      </w:pPr>
      <w:r>
        <w:rPr>
          <w:rFonts w:hint="eastAsia" w:cs="仿宋_GB2312"/>
        </w:rPr>
        <w:t>兹委托</w:t>
      </w:r>
      <w:r>
        <w:rPr>
          <w:rFonts w:hint="eastAsia" w:cs="仿宋_GB2312"/>
          <w:u w:val="single"/>
        </w:rPr>
        <w:t xml:space="preserve">            </w:t>
      </w:r>
      <w:r>
        <w:rPr>
          <w:rFonts w:hint="eastAsia" w:cs="仿宋_GB2312"/>
        </w:rPr>
        <w:t>全权代表我企业（公司）参与</w:t>
      </w:r>
      <w:r>
        <w:rPr>
          <w:rFonts w:hint="eastAsia" w:cs="仿宋_GB2312"/>
          <w:u w:val="single"/>
        </w:rPr>
        <w:t xml:space="preserve">         项目</w:t>
      </w:r>
      <w:r>
        <w:rPr>
          <w:rFonts w:hint="eastAsia" w:cs="仿宋_GB2312"/>
        </w:rPr>
        <w:t>[项目编号：</w:t>
      </w:r>
      <w:r>
        <w:rPr>
          <w:rFonts w:hint="eastAsia" w:cs="仿宋_GB2312"/>
          <w:bCs/>
          <w:lang w:eastAsia="zh-CN"/>
        </w:rPr>
        <w:t>徐生采（2023）xzsw1102</w:t>
      </w:r>
      <w:r>
        <w:rPr>
          <w:rFonts w:hint="eastAsia" w:cs="仿宋_GB2312"/>
        </w:rPr>
        <w:t>]的谈判活动及签订合同。</w:t>
      </w:r>
      <w:r>
        <w:rPr>
          <w:rFonts w:hint="eastAsia" w:cs="仿宋_GB2312"/>
          <w:u w:val="single"/>
        </w:rPr>
        <w:t xml:space="preserve">            </w:t>
      </w:r>
      <w:r>
        <w:rPr>
          <w:rFonts w:hint="eastAsia" w:cs="仿宋_GB2312"/>
        </w:rPr>
        <w:t xml:space="preserve"> 以我企业（公司）名义所为的行为及签署的文件，我企业（公司）均予以认可。有关法律责任均由我企业（公司）承担。</w:t>
      </w:r>
      <w:r>
        <w:rPr>
          <w:rFonts w:hint="eastAsia" w:cs="仿宋_GB2312"/>
          <w:u w:val="single"/>
        </w:rPr>
        <w:t xml:space="preserve">            </w:t>
      </w:r>
      <w:r>
        <w:rPr>
          <w:rFonts w:hint="eastAsia" w:cs="仿宋_GB2312"/>
        </w:rPr>
        <w:t xml:space="preserve"> 无转委托权。委托期限自     年   月  日起至    年   月   日止。</w:t>
      </w:r>
    </w:p>
    <w:p>
      <w:pPr>
        <w:spacing w:line="288" w:lineRule="auto"/>
        <w:rPr>
          <w:rFonts w:cs="仿宋_GB2312"/>
        </w:rPr>
      </w:pPr>
    </w:p>
    <w:p>
      <w:pPr>
        <w:spacing w:line="288" w:lineRule="auto"/>
        <w:rPr>
          <w:rFonts w:cs="仿宋_GB2312"/>
        </w:rPr>
      </w:pPr>
      <w:r>
        <w:rPr>
          <w:rFonts w:hint="eastAsia" w:cs="仿宋_GB2312"/>
        </w:rPr>
        <w:t>委托人（公章）：</w:t>
      </w:r>
    </w:p>
    <w:p>
      <w:pPr>
        <w:spacing w:line="288" w:lineRule="auto"/>
        <w:rPr>
          <w:rFonts w:cs="仿宋_GB2312"/>
        </w:rPr>
      </w:pPr>
    </w:p>
    <w:p>
      <w:pPr>
        <w:spacing w:line="288" w:lineRule="auto"/>
        <w:rPr>
          <w:rFonts w:cs="仿宋_GB2312"/>
        </w:rPr>
      </w:pPr>
      <w:r>
        <w:rPr>
          <w:rFonts w:hint="eastAsia" w:cs="仿宋_GB2312"/>
        </w:rPr>
        <w:t>法定代表人（签字）：</w:t>
      </w:r>
    </w:p>
    <w:p>
      <w:pPr>
        <w:spacing w:line="288" w:lineRule="auto"/>
        <w:rPr>
          <w:rFonts w:cs="仿宋_GB2312"/>
        </w:rPr>
      </w:pPr>
      <w:r>
        <w:rPr>
          <w:rFonts w:hint="eastAsia" w:cs="仿宋_GB2312"/>
        </w:rPr>
        <w:t xml:space="preserve"> </w:t>
      </w:r>
    </w:p>
    <w:p>
      <w:pPr>
        <w:spacing w:line="288" w:lineRule="auto"/>
        <w:rPr>
          <w:rFonts w:cs="仿宋_GB2312"/>
        </w:rPr>
      </w:pPr>
      <w:r>
        <w:rPr>
          <w:rFonts w:hint="eastAsia" w:cs="仿宋_GB2312"/>
        </w:rPr>
        <w:t>受托人（签字）：</w:t>
      </w:r>
    </w:p>
    <w:p>
      <w:pPr>
        <w:spacing w:line="288" w:lineRule="auto"/>
        <w:rPr>
          <w:rFonts w:cs="仿宋_GB2312"/>
        </w:rPr>
      </w:pPr>
    </w:p>
    <w:p>
      <w:pPr>
        <w:spacing w:line="288" w:lineRule="auto"/>
        <w:ind w:firstLine="6081" w:firstLineChars="2534"/>
        <w:rPr>
          <w:rFonts w:cs="仿宋_GB2312"/>
        </w:rPr>
      </w:pPr>
      <w:r>
        <w:rPr>
          <w:rFonts w:hint="eastAsia" w:cs="仿宋_GB2312"/>
        </w:rPr>
        <w:t>年   月   日</w:t>
      </w:r>
    </w:p>
    <w:p>
      <w:pPr>
        <w:spacing w:line="288" w:lineRule="auto"/>
        <w:rPr>
          <w:rFonts w:cs="仿宋_GB2312"/>
        </w:rPr>
      </w:pPr>
    </w:p>
    <w:p>
      <w:pPr>
        <w:spacing w:line="288" w:lineRule="auto"/>
        <w:rPr>
          <w:rFonts w:cs="仿宋_GB2312"/>
        </w:rPr>
      </w:pPr>
      <w:r>
        <w:rPr>
          <w:rFonts w:hint="eastAsia" w:cs="仿宋_GB2312"/>
        </w:rPr>
        <w:t>(受托人身份证复印件附后)</w:t>
      </w:r>
    </w:p>
    <w:p>
      <w:pPr>
        <w:pStyle w:val="4"/>
        <w:rPr>
          <w:bCs/>
          <w:sz w:val="30"/>
          <w:szCs w:val="30"/>
        </w:rPr>
      </w:pPr>
      <w:r>
        <w:rPr>
          <w:rFonts w:hint="eastAsia" w:cs="仿宋_GB2312"/>
        </w:rPr>
        <w:br w:type="page"/>
      </w:r>
      <w:r>
        <w:rPr>
          <w:rFonts w:hint="eastAsia" w:cs="仿宋_GB2312"/>
          <w:bCs/>
          <w:sz w:val="30"/>
          <w:szCs w:val="30"/>
        </w:rPr>
        <w:t>6、</w:t>
      </w:r>
      <w:r>
        <w:rPr>
          <w:rFonts w:hint="eastAsia"/>
          <w:bCs/>
          <w:sz w:val="30"/>
          <w:szCs w:val="30"/>
        </w:rPr>
        <w:t>偏离表</w:t>
      </w:r>
    </w:p>
    <w:p>
      <w:pPr>
        <w:spacing w:line="288" w:lineRule="auto"/>
        <w:jc w:val="center"/>
        <w:rPr>
          <w:b/>
          <w:bCs/>
          <w:sz w:val="36"/>
        </w:rPr>
      </w:pPr>
      <w:r>
        <w:rPr>
          <w:rFonts w:hint="eastAsia"/>
        </w:rPr>
        <w:t>（首次报价）</w:t>
      </w:r>
    </w:p>
    <w:p>
      <w:pPr>
        <w:spacing w:line="288" w:lineRule="auto"/>
      </w:pPr>
    </w:p>
    <w:p>
      <w:pPr>
        <w:spacing w:line="288" w:lineRule="auto"/>
        <w:rPr>
          <w:rFonts w:hint="eastAsia" w:eastAsia="宋体"/>
          <w:lang w:eastAsia="zh-CN"/>
        </w:rPr>
      </w:pPr>
      <w:r>
        <w:rPr>
          <w:rFonts w:hint="eastAsia"/>
        </w:rPr>
        <w:t>项目编号：</w:t>
      </w:r>
      <w:r>
        <w:rPr>
          <w:rFonts w:hint="eastAsia" w:cs="仿宋_GB2312"/>
          <w:bCs/>
          <w:lang w:eastAsia="zh-CN"/>
        </w:rPr>
        <w:t>徐生采（2023）xzsw1102</w:t>
      </w:r>
    </w:p>
    <w:tbl>
      <w:tblPr>
        <w:tblStyle w:val="14"/>
        <w:tblW w:w="0" w:type="auto"/>
        <w:tblInd w:w="0" w:type="dxa"/>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828"/>
        <w:gridCol w:w="900"/>
        <w:gridCol w:w="2340"/>
        <w:gridCol w:w="1620"/>
        <w:gridCol w:w="1260"/>
        <w:gridCol w:w="1980"/>
      </w:tblGrid>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828" w:type="dxa"/>
            <w:tcBorders>
              <w:top w:val="double" w:color="000000" w:sz="6" w:space="0"/>
              <w:left w:val="double" w:color="000000" w:sz="6" w:space="0"/>
              <w:bottom w:val="single" w:color="000000" w:sz="6" w:space="0"/>
              <w:right w:val="single" w:color="000000" w:sz="6" w:space="0"/>
            </w:tcBorders>
          </w:tcPr>
          <w:p>
            <w:pPr>
              <w:spacing w:line="288" w:lineRule="auto"/>
              <w:jc w:val="center"/>
              <w:rPr>
                <w:caps/>
              </w:rPr>
            </w:pPr>
            <w:r>
              <w:rPr>
                <w:rFonts w:hint="eastAsia"/>
                <w:caps/>
              </w:rPr>
              <w:t>序号</w:t>
            </w:r>
          </w:p>
        </w:tc>
        <w:tc>
          <w:tcPr>
            <w:tcW w:w="900" w:type="dxa"/>
            <w:tcBorders>
              <w:top w:val="double" w:color="000000" w:sz="6" w:space="0"/>
              <w:left w:val="single" w:color="000000" w:sz="6" w:space="0"/>
              <w:bottom w:val="single" w:color="000000" w:sz="6" w:space="0"/>
              <w:right w:val="single" w:color="000000" w:sz="6" w:space="0"/>
            </w:tcBorders>
          </w:tcPr>
          <w:p>
            <w:pPr>
              <w:spacing w:line="288" w:lineRule="auto"/>
              <w:jc w:val="center"/>
              <w:rPr>
                <w:caps/>
              </w:rPr>
            </w:pPr>
            <w:r>
              <w:rPr>
                <w:rFonts w:hint="eastAsia"/>
                <w:caps/>
              </w:rPr>
              <w:t>偏离内容</w:t>
            </w:r>
          </w:p>
        </w:tc>
        <w:tc>
          <w:tcPr>
            <w:tcW w:w="2340" w:type="dxa"/>
            <w:tcBorders>
              <w:top w:val="double" w:color="000000" w:sz="6" w:space="0"/>
              <w:left w:val="single" w:color="000000" w:sz="6" w:space="0"/>
              <w:bottom w:val="single" w:color="000000" w:sz="6" w:space="0"/>
              <w:right w:val="single" w:color="000000" w:sz="6" w:space="0"/>
            </w:tcBorders>
          </w:tcPr>
          <w:p>
            <w:pPr>
              <w:spacing w:line="288" w:lineRule="auto"/>
              <w:jc w:val="center"/>
              <w:rPr>
                <w:caps/>
              </w:rPr>
            </w:pPr>
            <w:r>
              <w:rPr>
                <w:rFonts w:hint="eastAsia"/>
              </w:rPr>
              <w:t>谈判文件（含谈判文件修改（澄清））的要求</w:t>
            </w:r>
          </w:p>
        </w:tc>
        <w:tc>
          <w:tcPr>
            <w:tcW w:w="1620" w:type="dxa"/>
            <w:tcBorders>
              <w:top w:val="double" w:color="000000" w:sz="6" w:space="0"/>
              <w:left w:val="single" w:color="000000" w:sz="6" w:space="0"/>
              <w:bottom w:val="single" w:color="000000" w:sz="6" w:space="0"/>
              <w:right w:val="single" w:color="000000" w:sz="6" w:space="0"/>
            </w:tcBorders>
          </w:tcPr>
          <w:p>
            <w:pPr>
              <w:spacing w:line="288" w:lineRule="auto"/>
              <w:jc w:val="center"/>
              <w:rPr>
                <w:caps/>
              </w:rPr>
            </w:pPr>
            <w:r>
              <w:rPr>
                <w:rFonts w:hint="eastAsia"/>
              </w:rPr>
              <w:t>首次响应文件中的内容</w:t>
            </w:r>
          </w:p>
        </w:tc>
        <w:tc>
          <w:tcPr>
            <w:tcW w:w="1260" w:type="dxa"/>
            <w:tcBorders>
              <w:top w:val="double" w:color="000000" w:sz="6" w:space="0"/>
              <w:left w:val="single" w:color="000000" w:sz="6" w:space="0"/>
              <w:bottom w:val="single" w:color="000000" w:sz="6" w:space="0"/>
              <w:right w:val="single" w:color="000000" w:sz="6" w:space="0"/>
            </w:tcBorders>
          </w:tcPr>
          <w:p>
            <w:pPr>
              <w:spacing w:line="288" w:lineRule="auto"/>
              <w:rPr>
                <w:caps/>
              </w:rPr>
            </w:pPr>
            <w:r>
              <w:rPr>
                <w:rFonts w:hint="eastAsia"/>
                <w:caps/>
              </w:rPr>
              <w:t>（正/负/无）偏离</w:t>
            </w:r>
          </w:p>
        </w:tc>
        <w:tc>
          <w:tcPr>
            <w:tcW w:w="1980" w:type="dxa"/>
            <w:tcBorders>
              <w:top w:val="double" w:color="000000" w:sz="6" w:space="0"/>
              <w:left w:val="single" w:color="000000" w:sz="6" w:space="0"/>
              <w:bottom w:val="single" w:color="000000" w:sz="6" w:space="0"/>
              <w:right w:val="double" w:color="000000" w:sz="6" w:space="0"/>
            </w:tcBorders>
          </w:tcPr>
          <w:p>
            <w:pPr>
              <w:spacing w:line="288" w:lineRule="auto"/>
              <w:jc w:val="center"/>
              <w:rPr>
                <w:caps/>
              </w:rPr>
            </w:pPr>
            <w:r>
              <w:rPr>
                <w:rFonts w:hint="eastAsia"/>
                <w:caps/>
              </w:rPr>
              <w:t>说明</w:t>
            </w: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vAlign w:val="center"/>
          </w:tcPr>
          <w:p>
            <w:pPr>
              <w:spacing w:line="288" w:lineRule="auto"/>
              <w:jc w:val="center"/>
              <w:rPr>
                <w:caps/>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jc w:val="center"/>
              <w:rPr>
                <w:caps/>
              </w:rPr>
            </w:pPr>
          </w:p>
        </w:tc>
        <w:tc>
          <w:tcPr>
            <w:tcW w:w="2340" w:type="dxa"/>
            <w:tcBorders>
              <w:top w:val="single" w:color="000000" w:sz="6" w:space="0"/>
              <w:left w:val="single" w:color="000000" w:sz="6" w:space="0"/>
              <w:bottom w:val="single" w:color="000000" w:sz="6" w:space="0"/>
              <w:right w:val="single" w:color="000000" w:sz="6" w:space="0"/>
            </w:tcBorders>
            <w:vAlign w:val="center"/>
          </w:tcPr>
          <w:p>
            <w:pPr>
              <w:spacing w:line="288" w:lineRule="auto"/>
              <w:jc w:val="center"/>
              <w:rPr>
                <w:caps/>
              </w:rPr>
            </w:pPr>
          </w:p>
        </w:tc>
        <w:tc>
          <w:tcPr>
            <w:tcW w:w="1620" w:type="dxa"/>
            <w:tcBorders>
              <w:top w:val="single" w:color="000000" w:sz="6" w:space="0"/>
              <w:left w:val="single" w:color="000000" w:sz="6" w:space="0"/>
              <w:bottom w:val="single" w:color="000000" w:sz="6" w:space="0"/>
              <w:right w:val="single" w:color="000000" w:sz="6" w:space="0"/>
            </w:tcBorders>
            <w:vAlign w:val="center"/>
          </w:tcPr>
          <w:p>
            <w:pPr>
              <w:spacing w:line="288" w:lineRule="auto"/>
              <w:jc w:val="center"/>
              <w:rPr>
                <w:caps/>
              </w:rPr>
            </w:pP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jc w:val="center"/>
              <w:rPr>
                <w:caps/>
              </w:rPr>
            </w:pPr>
          </w:p>
        </w:tc>
        <w:tc>
          <w:tcPr>
            <w:tcW w:w="1980" w:type="dxa"/>
            <w:tcBorders>
              <w:top w:val="single" w:color="000000" w:sz="6" w:space="0"/>
              <w:left w:val="single" w:color="000000" w:sz="6" w:space="0"/>
              <w:bottom w:val="single" w:color="000000" w:sz="6" w:space="0"/>
              <w:right w:val="double" w:color="000000" w:sz="6" w:space="0"/>
            </w:tcBorders>
            <w:vAlign w:val="center"/>
          </w:tcPr>
          <w:p>
            <w:pPr>
              <w:spacing w:line="288" w:lineRule="auto"/>
              <w:jc w:val="center"/>
              <w:rPr>
                <w:caps/>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double" w:color="000000" w:sz="6" w:space="0"/>
              <w:right w:val="single" w:color="000000" w:sz="6" w:space="0"/>
            </w:tcBorders>
          </w:tcPr>
          <w:p>
            <w:pPr>
              <w:spacing w:line="288" w:lineRule="auto"/>
            </w:pPr>
          </w:p>
        </w:tc>
        <w:tc>
          <w:tcPr>
            <w:tcW w:w="900" w:type="dxa"/>
            <w:tcBorders>
              <w:top w:val="single" w:color="000000" w:sz="6" w:space="0"/>
              <w:left w:val="single" w:color="000000" w:sz="6" w:space="0"/>
              <w:bottom w:val="double" w:color="000000" w:sz="6" w:space="0"/>
              <w:right w:val="single" w:color="000000" w:sz="6" w:space="0"/>
            </w:tcBorders>
          </w:tcPr>
          <w:p>
            <w:pPr>
              <w:spacing w:line="288" w:lineRule="auto"/>
            </w:pPr>
          </w:p>
        </w:tc>
        <w:tc>
          <w:tcPr>
            <w:tcW w:w="2340" w:type="dxa"/>
            <w:tcBorders>
              <w:top w:val="single" w:color="000000" w:sz="6" w:space="0"/>
              <w:left w:val="single" w:color="000000" w:sz="6" w:space="0"/>
              <w:bottom w:val="double" w:color="000000" w:sz="6" w:space="0"/>
              <w:right w:val="single" w:color="000000" w:sz="6" w:space="0"/>
            </w:tcBorders>
          </w:tcPr>
          <w:p>
            <w:pPr>
              <w:spacing w:line="288" w:lineRule="auto"/>
            </w:pPr>
          </w:p>
        </w:tc>
        <w:tc>
          <w:tcPr>
            <w:tcW w:w="1620" w:type="dxa"/>
            <w:tcBorders>
              <w:top w:val="single" w:color="000000" w:sz="6" w:space="0"/>
              <w:left w:val="single" w:color="000000" w:sz="6" w:space="0"/>
              <w:bottom w:val="double" w:color="000000" w:sz="6" w:space="0"/>
              <w:right w:val="single" w:color="000000" w:sz="6" w:space="0"/>
            </w:tcBorders>
          </w:tcPr>
          <w:p>
            <w:pPr>
              <w:spacing w:line="288" w:lineRule="auto"/>
            </w:pPr>
          </w:p>
        </w:tc>
        <w:tc>
          <w:tcPr>
            <w:tcW w:w="1260" w:type="dxa"/>
            <w:tcBorders>
              <w:top w:val="single" w:color="000000" w:sz="6" w:space="0"/>
              <w:left w:val="single" w:color="000000" w:sz="6" w:space="0"/>
              <w:bottom w:val="double" w:color="000000" w:sz="6" w:space="0"/>
              <w:right w:val="single" w:color="000000" w:sz="6" w:space="0"/>
            </w:tcBorders>
          </w:tcPr>
          <w:p>
            <w:pPr>
              <w:spacing w:line="288" w:lineRule="auto"/>
            </w:pPr>
          </w:p>
        </w:tc>
        <w:tc>
          <w:tcPr>
            <w:tcW w:w="1980" w:type="dxa"/>
            <w:tcBorders>
              <w:top w:val="single" w:color="000000" w:sz="6" w:space="0"/>
              <w:left w:val="single" w:color="000000" w:sz="6" w:space="0"/>
              <w:bottom w:val="double" w:color="000000" w:sz="6" w:space="0"/>
              <w:right w:val="double" w:color="000000" w:sz="6" w:space="0"/>
            </w:tcBorders>
          </w:tcPr>
          <w:p>
            <w:pPr>
              <w:spacing w:line="288" w:lineRule="auto"/>
            </w:pPr>
          </w:p>
        </w:tc>
      </w:tr>
    </w:tbl>
    <w:p>
      <w:pPr>
        <w:spacing w:line="288" w:lineRule="auto"/>
        <w:rPr>
          <w:u w:val="single"/>
        </w:rPr>
      </w:pPr>
    </w:p>
    <w:p>
      <w:pPr>
        <w:spacing w:line="288" w:lineRule="auto"/>
      </w:pPr>
      <w:r>
        <w:rPr>
          <w:rFonts w:hint="eastAsia"/>
          <w:u w:val="single"/>
        </w:rPr>
        <w:t>注：供应商的首次响应文件中的内容与谈判文件（含谈判文件修改（澄清））的要求不同时，逐条列在偏离表中，否则将认为供应商接受谈判文件的要求。</w:t>
      </w:r>
    </w:p>
    <w:p>
      <w:pPr>
        <w:spacing w:line="288" w:lineRule="auto"/>
      </w:pPr>
    </w:p>
    <w:p>
      <w:pPr>
        <w:adjustRightInd w:val="0"/>
        <w:snapToGrid w:val="0"/>
        <w:spacing w:line="288" w:lineRule="auto"/>
      </w:pPr>
      <w:r>
        <w:rPr>
          <w:rFonts w:hint="eastAsia"/>
        </w:rPr>
        <w:t xml:space="preserve">供应商名称： _____________________ </w:t>
      </w:r>
    </w:p>
    <w:p>
      <w:pPr>
        <w:spacing w:line="288" w:lineRule="auto"/>
      </w:pPr>
      <w:r>
        <w:rPr>
          <w:rFonts w:hint="eastAsia"/>
        </w:rPr>
        <w:t>供应商公章：</w:t>
      </w:r>
    </w:p>
    <w:p>
      <w:pPr>
        <w:adjustRightInd w:val="0"/>
        <w:snapToGrid w:val="0"/>
        <w:spacing w:line="288" w:lineRule="auto"/>
      </w:pPr>
      <w:r>
        <w:rPr>
          <w:rFonts w:hint="eastAsia"/>
        </w:rPr>
        <w:t>谈判代表（授权人）签字：________________</w:t>
      </w:r>
    </w:p>
    <w:p>
      <w:pPr>
        <w:rPr>
          <w:rFonts w:cs="仿宋_GB2312"/>
          <w:b/>
          <w:bCs/>
          <w:sz w:val="30"/>
          <w:szCs w:val="30"/>
        </w:rPr>
      </w:pPr>
      <w:r>
        <w:br w:type="page"/>
      </w:r>
    </w:p>
    <w:p>
      <w:pPr>
        <w:pStyle w:val="4"/>
      </w:pPr>
      <w:r>
        <w:rPr>
          <w:rFonts w:hint="eastAsia"/>
          <w:lang w:val="en-US" w:eastAsia="zh-CN"/>
        </w:rPr>
        <w:t>7</w:t>
      </w:r>
      <w:r>
        <w:rPr>
          <w:rFonts w:hint="eastAsia"/>
        </w:rPr>
        <w:t>、供应商参加政府采购活动前3年内在经营活动中没有重大违法记录的书面声明</w:t>
      </w:r>
    </w:p>
    <w:p>
      <w:pPr>
        <w:pStyle w:val="13"/>
        <w:spacing w:line="288" w:lineRule="auto"/>
        <w:ind w:firstLine="480" w:firstLineChars="200"/>
        <w:rPr>
          <w:rFonts w:cs="仿宋_GB2312"/>
          <w:kern w:val="2"/>
        </w:rPr>
      </w:pPr>
      <w:r>
        <w:rPr>
          <w:rFonts w:hint="eastAsia" w:cs="仿宋_GB2312"/>
          <w:kern w:val="2"/>
        </w:rPr>
        <w:t>我单位在参加</w:t>
      </w:r>
      <w:r>
        <w:rPr>
          <w:rFonts w:hint="eastAsia" w:cs="仿宋_GB2312"/>
          <w:kern w:val="2"/>
          <w:u w:val="single"/>
        </w:rPr>
        <w:t xml:space="preserve">            </w:t>
      </w:r>
      <w:r>
        <w:rPr>
          <w:rFonts w:hint="eastAsia" w:cs="仿宋_GB2312"/>
          <w:kern w:val="2"/>
        </w:rPr>
        <w:t>项目（</w:t>
      </w:r>
      <w:r>
        <w:rPr>
          <w:rFonts w:hint="eastAsia" w:cs="仿宋_GB2312"/>
        </w:rPr>
        <w:t>项目编号：</w:t>
      </w:r>
      <w:r>
        <w:rPr>
          <w:rFonts w:hint="eastAsia" w:cs="仿宋_GB2312"/>
          <w:bCs/>
          <w:lang w:eastAsia="zh-CN"/>
        </w:rPr>
        <w:t>徐生采（2023）xzsw1102</w:t>
      </w:r>
      <w:r>
        <w:rPr>
          <w:rFonts w:hint="eastAsia" w:cs="仿宋_GB2312"/>
          <w:kern w:val="2"/>
        </w:rPr>
        <w:t>）政府采购活动前3年内在经营活动中没有重大违法记录。重大违法记录是指因违法经营受到刑事处罚或者责令停产停业、吊销许可证或者执照、较大数额罚款等行政处罚。</w:t>
      </w:r>
    </w:p>
    <w:p>
      <w:pPr>
        <w:pStyle w:val="13"/>
        <w:spacing w:line="288" w:lineRule="auto"/>
        <w:ind w:firstLine="480" w:firstLineChars="200"/>
        <w:rPr>
          <w:rFonts w:cs="仿宋_GB2312"/>
          <w:kern w:val="2"/>
        </w:rPr>
      </w:pPr>
      <w:r>
        <w:rPr>
          <w:rFonts w:hint="eastAsia" w:cs="仿宋_GB2312"/>
          <w:kern w:val="2"/>
        </w:rPr>
        <w:t>我单位对上述声明的真实性负责。如有虚假，将依法承担相应责任。</w:t>
      </w:r>
    </w:p>
    <w:p>
      <w:pPr>
        <w:pStyle w:val="13"/>
        <w:spacing w:line="288" w:lineRule="auto"/>
        <w:rPr>
          <w:rFonts w:cs="仿宋_GB2312"/>
          <w:kern w:val="2"/>
        </w:rPr>
      </w:pPr>
      <w:r>
        <w:rPr>
          <w:rFonts w:hint="eastAsia" w:cs="仿宋_GB2312"/>
          <w:kern w:val="2"/>
        </w:rPr>
        <w:t> </w:t>
      </w:r>
    </w:p>
    <w:p>
      <w:pPr>
        <w:pStyle w:val="13"/>
        <w:spacing w:line="288" w:lineRule="auto"/>
        <w:ind w:left="3960" w:leftChars="1650"/>
        <w:jc w:val="both"/>
        <w:rPr>
          <w:rFonts w:cs="仿宋_GB2312"/>
          <w:kern w:val="2"/>
        </w:rPr>
      </w:pPr>
    </w:p>
    <w:p>
      <w:pPr>
        <w:pStyle w:val="13"/>
        <w:spacing w:line="288" w:lineRule="auto"/>
        <w:ind w:left="3960" w:leftChars="1650"/>
        <w:jc w:val="both"/>
        <w:rPr>
          <w:rFonts w:cs="仿宋_GB2312"/>
          <w:kern w:val="2"/>
        </w:rPr>
      </w:pPr>
      <w:r>
        <w:rPr>
          <w:rFonts w:hint="eastAsia" w:cs="仿宋_GB2312"/>
          <w:kern w:val="2"/>
        </w:rPr>
        <w:t xml:space="preserve">供应商谈判代表签字： </w:t>
      </w:r>
      <w:r>
        <w:rPr>
          <w:rFonts w:hint="eastAsia" w:cs="仿宋_GB2312"/>
          <w:kern w:val="2"/>
        </w:rPr>
        <w:br w:type="textWrapping"/>
      </w:r>
    </w:p>
    <w:p>
      <w:pPr>
        <w:pStyle w:val="13"/>
        <w:spacing w:line="288" w:lineRule="auto"/>
        <w:ind w:left="3960" w:leftChars="1650"/>
        <w:jc w:val="both"/>
        <w:rPr>
          <w:rFonts w:cs="仿宋_GB2312"/>
          <w:kern w:val="2"/>
        </w:rPr>
      </w:pPr>
      <w:r>
        <w:rPr>
          <w:rFonts w:hint="eastAsia" w:cs="仿宋_GB2312"/>
          <w:kern w:val="2"/>
        </w:rPr>
        <w:t xml:space="preserve">供应商名称： </w:t>
      </w:r>
      <w:r>
        <w:rPr>
          <w:rFonts w:hint="eastAsia" w:cs="仿宋_GB2312"/>
          <w:kern w:val="2"/>
        </w:rPr>
        <w:br w:type="textWrapping"/>
      </w:r>
    </w:p>
    <w:p>
      <w:pPr>
        <w:pStyle w:val="13"/>
        <w:spacing w:line="288" w:lineRule="auto"/>
        <w:ind w:left="3960" w:leftChars="1650"/>
        <w:jc w:val="both"/>
        <w:rPr>
          <w:rFonts w:cs="仿宋_GB2312"/>
          <w:kern w:val="2"/>
        </w:rPr>
      </w:pPr>
      <w:r>
        <w:rPr>
          <w:rFonts w:hint="eastAsia" w:cs="仿宋_GB2312"/>
          <w:kern w:val="2"/>
        </w:rPr>
        <w:t>公章：</w:t>
      </w:r>
      <w:r>
        <w:rPr>
          <w:rFonts w:hint="eastAsia" w:cs="仿宋_GB2312"/>
          <w:kern w:val="2"/>
        </w:rPr>
        <w:br w:type="textWrapping"/>
      </w:r>
    </w:p>
    <w:p>
      <w:pPr>
        <w:pStyle w:val="13"/>
        <w:spacing w:line="288" w:lineRule="auto"/>
        <w:ind w:left="3960" w:leftChars="1650"/>
        <w:jc w:val="both"/>
        <w:rPr>
          <w:rFonts w:cs="仿宋_GB2312"/>
          <w:kern w:val="2"/>
        </w:rPr>
      </w:pPr>
      <w:r>
        <w:rPr>
          <w:rFonts w:hint="eastAsia" w:cs="仿宋_GB2312"/>
          <w:kern w:val="2"/>
        </w:rPr>
        <w:t>日期：   年  月  日</w:t>
      </w:r>
    </w:p>
    <w:p>
      <w:pPr>
        <w:spacing w:line="288" w:lineRule="auto"/>
        <w:jc w:val="center"/>
        <w:rPr>
          <w:rFonts w:cs="仿宋_GB2312"/>
          <w:sz w:val="36"/>
        </w:rPr>
      </w:pPr>
    </w:p>
    <w:p>
      <w:pPr>
        <w:spacing w:line="288" w:lineRule="auto"/>
        <w:jc w:val="center"/>
        <w:rPr>
          <w:rFonts w:cs="仿宋_GB2312"/>
          <w:sz w:val="36"/>
        </w:rPr>
      </w:pPr>
    </w:p>
    <w:p>
      <w:pPr>
        <w:spacing w:line="288" w:lineRule="auto"/>
        <w:jc w:val="center"/>
        <w:rPr>
          <w:rFonts w:cs="仿宋_GB2312"/>
          <w:sz w:val="36"/>
        </w:rPr>
      </w:pPr>
    </w:p>
    <w:p>
      <w:pPr>
        <w:spacing w:line="288" w:lineRule="auto"/>
        <w:jc w:val="center"/>
        <w:rPr>
          <w:rFonts w:cs="仿宋_GB2312"/>
          <w:sz w:val="36"/>
        </w:rPr>
      </w:pPr>
    </w:p>
    <w:p>
      <w:pPr>
        <w:spacing w:line="288" w:lineRule="auto"/>
        <w:jc w:val="center"/>
        <w:rPr>
          <w:rFonts w:cs="仿宋_GB2312"/>
          <w:sz w:val="36"/>
        </w:rPr>
      </w:pPr>
    </w:p>
    <w:p>
      <w:pPr>
        <w:spacing w:line="288" w:lineRule="auto"/>
        <w:jc w:val="center"/>
        <w:rPr>
          <w:rFonts w:cs="仿宋_GB2312"/>
          <w:sz w:val="36"/>
        </w:rPr>
      </w:pPr>
    </w:p>
    <w:p>
      <w:pPr>
        <w:pStyle w:val="13"/>
        <w:spacing w:line="288" w:lineRule="auto"/>
        <w:rPr>
          <w:rFonts w:cs="仿宋_GB2312"/>
          <w:sz w:val="36"/>
        </w:rPr>
      </w:pPr>
    </w:p>
    <w:p>
      <w:pPr>
        <w:pStyle w:val="4"/>
        <w:rPr>
          <w:rFonts w:cs="仿宋_GB2312"/>
          <w:sz w:val="30"/>
          <w:szCs w:val="30"/>
        </w:rPr>
      </w:pPr>
      <w:r>
        <w:rPr>
          <w:rFonts w:hint="eastAsia" w:cs="仿宋_GB2312"/>
          <w:bCs/>
          <w:sz w:val="30"/>
          <w:szCs w:val="30"/>
          <w:lang w:val="en-US" w:eastAsia="zh-CN"/>
        </w:rPr>
        <w:t>8</w:t>
      </w:r>
      <w:r>
        <w:rPr>
          <w:rFonts w:hint="eastAsia" w:cs="仿宋_GB2312"/>
          <w:bCs/>
          <w:sz w:val="30"/>
          <w:szCs w:val="30"/>
        </w:rPr>
        <w:t>、具备履行合同所必需的设备和专业技术能力的书面声明</w:t>
      </w:r>
    </w:p>
    <w:p>
      <w:pPr>
        <w:spacing w:line="288" w:lineRule="auto"/>
        <w:jc w:val="center"/>
        <w:rPr>
          <w:b/>
        </w:rPr>
      </w:pPr>
      <w:r>
        <w:rPr>
          <w:rFonts w:hint="eastAsia"/>
        </w:rPr>
        <w:t>（附证明材料复印件）</w:t>
      </w:r>
    </w:p>
    <w:p>
      <w:pPr>
        <w:spacing w:line="288" w:lineRule="auto"/>
        <w:ind w:firstLine="480" w:firstLineChars="200"/>
        <w:rPr>
          <w:rFonts w:hint="eastAsia" w:eastAsia="宋体" w:cs="仿宋_GB2312"/>
          <w:bCs/>
          <w:lang w:eastAsia="zh-CN"/>
        </w:rPr>
      </w:pPr>
      <w:r>
        <w:rPr>
          <w:rFonts w:hint="eastAsia"/>
        </w:rPr>
        <w:t>项目编号：</w:t>
      </w:r>
      <w:r>
        <w:rPr>
          <w:rFonts w:hint="eastAsia" w:cs="仿宋_GB2312"/>
          <w:bCs/>
          <w:lang w:eastAsia="zh-CN"/>
        </w:rPr>
        <w:t>徐生采（2023）xzsw1102</w:t>
      </w:r>
    </w:p>
    <w:p>
      <w:pPr>
        <w:spacing w:line="288" w:lineRule="auto"/>
        <w:ind w:firstLine="480" w:firstLineChars="200"/>
        <w:rPr>
          <w:rFonts w:hint="eastAsia" w:eastAsia="宋体"/>
          <w:u w:val="single"/>
          <w:lang w:eastAsia="zh-CN"/>
        </w:rPr>
      </w:pPr>
      <w:r>
        <w:rPr>
          <w:rFonts w:hint="eastAsia"/>
        </w:rPr>
        <w:t>项目名称：</w:t>
      </w:r>
      <w:r>
        <w:rPr>
          <w:rFonts w:hint="eastAsia"/>
          <w:lang w:eastAsia="zh-CN"/>
        </w:rPr>
        <w:t>学生宿舍用床改造项目</w:t>
      </w:r>
    </w:p>
    <w:p>
      <w:pPr>
        <w:spacing w:line="288" w:lineRule="auto"/>
      </w:pPr>
      <w:r>
        <w:rPr>
          <w:rFonts w:hint="eastAsia"/>
        </w:rPr>
        <w:t xml:space="preserve">  </w:t>
      </w:r>
    </w:p>
    <w:p>
      <w:pPr>
        <w:spacing w:line="288" w:lineRule="auto"/>
        <w:ind w:firstLine="480" w:firstLineChars="200"/>
      </w:pPr>
      <w:r>
        <w:rPr>
          <w:rFonts w:hint="eastAsia"/>
        </w:rPr>
        <w:t>供应商郑重声明：供应商具备履行合同（项目名称：</w:t>
      </w:r>
      <w:r>
        <w:rPr>
          <w:rFonts w:hint="eastAsia"/>
          <w:lang w:eastAsia="zh-CN"/>
        </w:rPr>
        <w:t>学生宿舍用床改造项目</w:t>
      </w:r>
      <w:r>
        <w:rPr>
          <w:rFonts w:hint="eastAsia"/>
        </w:rPr>
        <w:t>），项目编号：</w:t>
      </w:r>
      <w:r>
        <w:rPr>
          <w:rFonts w:hint="eastAsia" w:cs="仿宋_GB2312"/>
          <w:bCs/>
          <w:lang w:eastAsia="zh-CN"/>
        </w:rPr>
        <w:t>徐生采（2023）xzsw1102</w:t>
      </w:r>
      <w:r>
        <w:rPr>
          <w:rFonts w:hint="eastAsia"/>
        </w:rPr>
        <w:t>）所必需的设备和专业技术能力，具体为：</w:t>
      </w:r>
    </w:p>
    <w:p>
      <w:pPr>
        <w:spacing w:line="288" w:lineRule="auto"/>
        <w:ind w:firstLine="480" w:firstLineChars="200"/>
      </w:pPr>
      <w:r>
        <w:rPr>
          <w:rFonts w:hint="eastAsia"/>
        </w:rPr>
        <w:t>设备：</w:t>
      </w:r>
    </w:p>
    <w:p>
      <w:pPr>
        <w:spacing w:line="288" w:lineRule="auto"/>
        <w:ind w:firstLine="480" w:firstLineChars="200"/>
      </w:pPr>
      <w:r>
        <w:rPr>
          <w:rFonts w:hint="eastAsia"/>
        </w:rPr>
        <w:t>1、 （证明材料复印件附后）</w:t>
      </w:r>
    </w:p>
    <w:p>
      <w:pPr>
        <w:spacing w:line="288" w:lineRule="auto"/>
        <w:ind w:firstLine="480" w:firstLineChars="200"/>
      </w:pPr>
      <w:r>
        <w:rPr>
          <w:rFonts w:hint="eastAsia"/>
        </w:rPr>
        <w:t>2、 （证明材料复印件附后）</w:t>
      </w:r>
    </w:p>
    <w:p>
      <w:pPr>
        <w:spacing w:line="288" w:lineRule="auto"/>
        <w:ind w:firstLine="480" w:firstLineChars="200"/>
      </w:pPr>
      <w:r>
        <w:rPr>
          <w:rFonts w:hint="eastAsia"/>
        </w:rPr>
        <w:t>3、 （证明材料复印件附后）</w:t>
      </w:r>
    </w:p>
    <w:p>
      <w:pPr>
        <w:spacing w:line="288" w:lineRule="auto"/>
        <w:ind w:firstLine="480" w:firstLineChars="200"/>
      </w:pPr>
      <w:r>
        <w:rPr>
          <w:rFonts w:hint="eastAsia"/>
        </w:rPr>
        <w:t>…………</w:t>
      </w:r>
    </w:p>
    <w:p>
      <w:pPr>
        <w:spacing w:line="288" w:lineRule="auto"/>
        <w:ind w:firstLine="480" w:firstLineChars="200"/>
      </w:pPr>
    </w:p>
    <w:p>
      <w:pPr>
        <w:spacing w:line="288" w:lineRule="auto"/>
        <w:ind w:firstLine="480" w:firstLineChars="200"/>
      </w:pPr>
      <w:r>
        <w:rPr>
          <w:rFonts w:hint="eastAsia"/>
        </w:rPr>
        <w:t>专业技术能力：</w:t>
      </w:r>
    </w:p>
    <w:p>
      <w:pPr>
        <w:spacing w:line="288" w:lineRule="auto"/>
        <w:ind w:firstLine="480" w:firstLineChars="200"/>
      </w:pPr>
      <w:r>
        <w:rPr>
          <w:rFonts w:hint="eastAsia"/>
        </w:rPr>
        <w:t>1、 （证明材料复印件附后）</w:t>
      </w:r>
    </w:p>
    <w:p>
      <w:pPr>
        <w:spacing w:line="288" w:lineRule="auto"/>
        <w:ind w:firstLine="480" w:firstLineChars="200"/>
      </w:pPr>
      <w:r>
        <w:rPr>
          <w:rFonts w:hint="eastAsia"/>
        </w:rPr>
        <w:t>2、 （证明材料复印件附后）</w:t>
      </w:r>
    </w:p>
    <w:p>
      <w:pPr>
        <w:spacing w:line="288" w:lineRule="auto"/>
        <w:ind w:firstLine="480" w:firstLineChars="200"/>
      </w:pPr>
      <w:r>
        <w:rPr>
          <w:rFonts w:hint="eastAsia"/>
        </w:rPr>
        <w:t>3、 （证明材料复印件附后）</w:t>
      </w:r>
    </w:p>
    <w:p>
      <w:pPr>
        <w:spacing w:line="288" w:lineRule="auto"/>
        <w:ind w:firstLine="480" w:firstLineChars="200"/>
      </w:pPr>
      <w:r>
        <w:rPr>
          <w:rFonts w:hint="eastAsia"/>
        </w:rPr>
        <w:t>…………</w:t>
      </w:r>
    </w:p>
    <w:p>
      <w:pPr>
        <w:spacing w:line="288" w:lineRule="auto"/>
        <w:ind w:firstLine="480" w:firstLineChars="200"/>
      </w:pPr>
      <w:r>
        <w:rPr>
          <w:rFonts w:hint="eastAsia"/>
        </w:rPr>
        <w:t>特此声明。</w:t>
      </w:r>
    </w:p>
    <w:p>
      <w:pPr>
        <w:spacing w:line="288" w:lineRule="auto"/>
        <w:ind w:firstLine="480" w:firstLineChars="200"/>
      </w:pPr>
      <w:r>
        <w:rPr>
          <w:rFonts w:hint="eastAsia"/>
        </w:rPr>
        <w:t>供应商对上述声明的真实性负责。如有虚假，将依法承担相应责任。</w:t>
      </w:r>
    </w:p>
    <w:p>
      <w:pPr>
        <w:spacing w:line="288" w:lineRule="auto"/>
      </w:pPr>
    </w:p>
    <w:p>
      <w:pPr>
        <w:spacing w:line="288" w:lineRule="auto"/>
        <w:ind w:firstLine="3600" w:firstLineChars="1500"/>
      </w:pPr>
      <w:r>
        <w:rPr>
          <w:rFonts w:hint="eastAsia"/>
        </w:rPr>
        <w:t>供应商：</w:t>
      </w:r>
      <w:r>
        <w:rPr>
          <w:rFonts w:hint="eastAsia"/>
          <w:u w:val="single"/>
        </w:rPr>
        <w:t xml:space="preserve">           </w:t>
      </w:r>
      <w:r>
        <w:t>（盖</w:t>
      </w:r>
      <w:r>
        <w:rPr>
          <w:rFonts w:hint="eastAsia"/>
        </w:rPr>
        <w:t>单位公</w:t>
      </w:r>
      <w:r>
        <w:t>章）</w:t>
      </w:r>
    </w:p>
    <w:p>
      <w:pPr>
        <w:spacing w:line="288" w:lineRule="auto"/>
        <w:ind w:firstLine="3600" w:firstLineChars="1500"/>
      </w:pPr>
    </w:p>
    <w:p>
      <w:pPr>
        <w:spacing w:line="288" w:lineRule="auto"/>
        <w:ind w:firstLine="3600" w:firstLineChars="1500"/>
        <w:rPr>
          <w:rFonts w:cs="仿宋_GB2312"/>
          <w:b/>
          <w:bCs/>
          <w:sz w:val="30"/>
          <w:szCs w:val="30"/>
        </w:rPr>
      </w:pPr>
      <w:r>
        <w:rPr>
          <w:rFonts w:hint="eastAsia"/>
        </w:rPr>
        <w:t>供应商授权代表：</w:t>
      </w:r>
      <w:r>
        <w:rPr>
          <w:rFonts w:hint="eastAsia"/>
          <w:u w:val="single"/>
        </w:rPr>
        <w:t xml:space="preserve">           </w:t>
      </w:r>
      <w:r>
        <w:rPr>
          <w:rFonts w:hint="eastAsia"/>
        </w:rPr>
        <w:t xml:space="preserve">（签字或盖章）  </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ascii="仿宋_GB2312" w:eastAsia="仿宋_GB2312"/>
      </w:rPr>
      <w:t>第</w:t>
    </w:r>
    <w:r>
      <w:rPr>
        <w:rFonts w:hint="eastAsia" w:ascii="仿宋_GB2312" w:eastAsia="仿宋_GB2312"/>
        <w:lang w:val="zh-CN"/>
      </w:rPr>
      <w:t xml:space="preserve"> </w:t>
    </w:r>
    <w:r>
      <w:rPr>
        <w:rFonts w:hint="eastAsia" w:ascii="仿宋_GB2312" w:eastAsia="仿宋_GB2312"/>
      </w:rPr>
      <w:fldChar w:fldCharType="begin"/>
    </w:r>
    <w:r>
      <w:rPr>
        <w:rFonts w:hint="eastAsia" w:ascii="仿宋_GB2312" w:eastAsia="仿宋_GB2312"/>
      </w:rPr>
      <w:instrText xml:space="preserve">PAGE</w:instrText>
    </w:r>
    <w:r>
      <w:rPr>
        <w:rFonts w:hint="eastAsia" w:ascii="仿宋_GB2312" w:eastAsia="仿宋_GB2312"/>
      </w:rPr>
      <w:fldChar w:fldCharType="separate"/>
    </w:r>
    <w:r>
      <w:rPr>
        <w:rFonts w:ascii="仿宋_GB2312" w:eastAsia="仿宋_GB2312"/>
      </w:rPr>
      <w:t>2</w:t>
    </w:r>
    <w:r>
      <w:rPr>
        <w:rFonts w:hint="eastAsia" w:ascii="仿宋_GB2312" w:eastAsia="仿宋_GB2312"/>
      </w:rPr>
      <w:fldChar w:fldCharType="end"/>
    </w:r>
    <w:r>
      <w:rPr>
        <w:rFonts w:hint="eastAsia" w:ascii="仿宋_GB2312" w:eastAsia="仿宋_GB2312"/>
        <w:lang w:val="zh-CN"/>
      </w:rPr>
      <w:t xml:space="preserve"> 页/第 </w:t>
    </w:r>
    <w:r>
      <w:rPr>
        <w:rFonts w:hint="eastAsia" w:ascii="仿宋_GB2312" w:eastAsia="仿宋_GB2312"/>
      </w:rPr>
      <w:fldChar w:fldCharType="begin"/>
    </w:r>
    <w:r>
      <w:rPr>
        <w:rFonts w:hint="eastAsia" w:ascii="仿宋_GB2312" w:eastAsia="仿宋_GB2312"/>
      </w:rPr>
      <w:instrText xml:space="preserve">NUMPAGES</w:instrText>
    </w:r>
    <w:r>
      <w:rPr>
        <w:rFonts w:hint="eastAsia" w:ascii="仿宋_GB2312" w:eastAsia="仿宋_GB2312"/>
      </w:rPr>
      <w:fldChar w:fldCharType="separate"/>
    </w:r>
    <w:r>
      <w:rPr>
        <w:rFonts w:ascii="仿宋_GB2312" w:eastAsia="仿宋_GB2312"/>
      </w:rPr>
      <w:t>48</w:t>
    </w:r>
    <w:r>
      <w:rPr>
        <w:rFonts w:hint="eastAsia" w:ascii="仿宋_GB2312" w:eastAsia="仿宋_GB2312"/>
      </w:rPr>
      <w:fldChar w:fldCharType="end"/>
    </w:r>
    <w:r>
      <w:rPr>
        <w:rFonts w:hint="eastAsia" w:ascii="仿宋_GB2312" w:eastAsia="仿宋_GB2312"/>
      </w:rPr>
      <w:t>页</w:t>
    </w:r>
  </w:p>
  <w:p>
    <w:pPr>
      <w:pStyle w:val="1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16"/>
      </w:rPr>
    </w:pPr>
    <w:r>
      <w:fldChar w:fldCharType="begin"/>
    </w:r>
    <w:r>
      <w:rPr>
        <w:rStyle w:val="16"/>
      </w:rPr>
      <w:instrText xml:space="preserve">PAGE  </w:instrText>
    </w:r>
    <w:r>
      <w:fldChar w:fldCharType="separate"/>
    </w:r>
    <w:r>
      <w:rPr>
        <w:rStyle w:val="16"/>
      </w:rPr>
      <w:t>19</w:t>
    </w:r>
    <w:r>
      <w:fldChar w:fldCharType="end"/>
    </w:r>
  </w:p>
  <w:p>
    <w:pPr>
      <w:pStyle w:val="11"/>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zZmJmODNkOWYwNDQ5YWY2MDJiYWMxY2RjMGIyNjMifQ=="/>
  </w:docVars>
  <w:rsids>
    <w:rsidRoot w:val="061607D8"/>
    <w:rsid w:val="00006288"/>
    <w:rsid w:val="00031E96"/>
    <w:rsid w:val="00054A03"/>
    <w:rsid w:val="000725AB"/>
    <w:rsid w:val="00095B32"/>
    <w:rsid w:val="000B28AB"/>
    <w:rsid w:val="000C6933"/>
    <w:rsid w:val="000E3520"/>
    <w:rsid w:val="001411CF"/>
    <w:rsid w:val="00180977"/>
    <w:rsid w:val="00187EA7"/>
    <w:rsid w:val="003763B1"/>
    <w:rsid w:val="003953F4"/>
    <w:rsid w:val="004265C9"/>
    <w:rsid w:val="004372B3"/>
    <w:rsid w:val="00574118"/>
    <w:rsid w:val="005913B5"/>
    <w:rsid w:val="005C3E37"/>
    <w:rsid w:val="006C2247"/>
    <w:rsid w:val="00721EA9"/>
    <w:rsid w:val="00735F08"/>
    <w:rsid w:val="00741C7D"/>
    <w:rsid w:val="007B437E"/>
    <w:rsid w:val="007D6079"/>
    <w:rsid w:val="008448C1"/>
    <w:rsid w:val="00847CCD"/>
    <w:rsid w:val="00A11DED"/>
    <w:rsid w:val="00A3172C"/>
    <w:rsid w:val="00AD32C2"/>
    <w:rsid w:val="00B03C8D"/>
    <w:rsid w:val="00BA3D08"/>
    <w:rsid w:val="00BA5F51"/>
    <w:rsid w:val="00BF75DD"/>
    <w:rsid w:val="00C6151C"/>
    <w:rsid w:val="00C71310"/>
    <w:rsid w:val="00CB0007"/>
    <w:rsid w:val="00CF1CD7"/>
    <w:rsid w:val="00D24DE4"/>
    <w:rsid w:val="00D5744F"/>
    <w:rsid w:val="00D736C4"/>
    <w:rsid w:val="00DE30AD"/>
    <w:rsid w:val="00E30BBD"/>
    <w:rsid w:val="00E37EE0"/>
    <w:rsid w:val="00E95B77"/>
    <w:rsid w:val="00EE4652"/>
    <w:rsid w:val="00F21325"/>
    <w:rsid w:val="00F37D0D"/>
    <w:rsid w:val="05094D59"/>
    <w:rsid w:val="061607D8"/>
    <w:rsid w:val="0DBE525B"/>
    <w:rsid w:val="10767C28"/>
    <w:rsid w:val="113E24AE"/>
    <w:rsid w:val="14215C1B"/>
    <w:rsid w:val="15130424"/>
    <w:rsid w:val="17871B12"/>
    <w:rsid w:val="195F30E7"/>
    <w:rsid w:val="19E25078"/>
    <w:rsid w:val="1D864D41"/>
    <w:rsid w:val="1E63466A"/>
    <w:rsid w:val="1EA116D9"/>
    <w:rsid w:val="22543660"/>
    <w:rsid w:val="246546AD"/>
    <w:rsid w:val="259C2791"/>
    <w:rsid w:val="2831014D"/>
    <w:rsid w:val="29A656E1"/>
    <w:rsid w:val="2D744BB6"/>
    <w:rsid w:val="34425A6E"/>
    <w:rsid w:val="3AF077B6"/>
    <w:rsid w:val="3C463127"/>
    <w:rsid w:val="40E70E43"/>
    <w:rsid w:val="41B83BFB"/>
    <w:rsid w:val="41E6556C"/>
    <w:rsid w:val="43BD6AB9"/>
    <w:rsid w:val="45120AE5"/>
    <w:rsid w:val="45C36CAE"/>
    <w:rsid w:val="48D923B1"/>
    <w:rsid w:val="508F7F78"/>
    <w:rsid w:val="54D740C8"/>
    <w:rsid w:val="58836BB9"/>
    <w:rsid w:val="58BF2EA8"/>
    <w:rsid w:val="5BB32901"/>
    <w:rsid w:val="5DF81C7E"/>
    <w:rsid w:val="5EFA28BD"/>
    <w:rsid w:val="5F6B1EF2"/>
    <w:rsid w:val="5FD85F89"/>
    <w:rsid w:val="65626A8F"/>
    <w:rsid w:val="6C292D43"/>
    <w:rsid w:val="76FD3A14"/>
    <w:rsid w:val="7AD34DA4"/>
    <w:rsid w:val="7B2305A2"/>
    <w:rsid w:val="7BAA55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iPriority="99"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3">
    <w:name w:val="heading 1"/>
    <w:basedOn w:val="1"/>
    <w:next w:val="1"/>
    <w:link w:val="17"/>
    <w:qFormat/>
    <w:uiPriority w:val="0"/>
    <w:pPr>
      <w:keepNext/>
      <w:keepLines/>
      <w:spacing w:before="100" w:beforeAutospacing="1" w:after="100" w:afterAutospacing="1"/>
      <w:jc w:val="center"/>
      <w:outlineLvl w:val="0"/>
    </w:pPr>
    <w:rPr>
      <w:rFonts w:ascii="Times New Roman" w:hAnsi="Times New Roman"/>
      <w:b/>
      <w:bCs/>
      <w:kern w:val="44"/>
      <w:sz w:val="44"/>
      <w:szCs w:val="44"/>
    </w:rPr>
  </w:style>
  <w:style w:type="paragraph" w:styleId="4">
    <w:name w:val="heading 2"/>
    <w:basedOn w:val="1"/>
    <w:next w:val="5"/>
    <w:link w:val="18"/>
    <w:unhideWhenUsed/>
    <w:qFormat/>
    <w:uiPriority w:val="0"/>
    <w:pPr>
      <w:spacing w:before="260" w:after="260"/>
      <w:jc w:val="center"/>
      <w:outlineLvl w:val="1"/>
    </w:pPr>
    <w:rPr>
      <w:rFonts w:ascii="Arial" w:hAnsi="Arial"/>
      <w:b/>
      <w:sz w:val="36"/>
    </w:rPr>
  </w:style>
  <w:style w:type="paragraph" w:styleId="6">
    <w:name w:val="heading 3"/>
    <w:basedOn w:val="1"/>
    <w:next w:val="1"/>
    <w:link w:val="19"/>
    <w:semiHidden/>
    <w:unhideWhenUsed/>
    <w:qFormat/>
    <w:uiPriority w:val="0"/>
    <w:pPr>
      <w:spacing w:before="120" w:after="120"/>
      <w:ind w:hanging="1748" w:hangingChars="485"/>
      <w:outlineLvl w:val="2"/>
    </w:pPr>
    <w:rPr>
      <w:rFonts w:ascii="Times New Roman" w:hAnsi="Times New Roman"/>
      <w:b/>
      <w:sz w:val="28"/>
    </w:rPr>
  </w:style>
  <w:style w:type="paragraph" w:styleId="7">
    <w:name w:val="heading 4"/>
    <w:basedOn w:val="1"/>
    <w:next w:val="1"/>
    <w:link w:val="20"/>
    <w:semiHidden/>
    <w:unhideWhenUsed/>
    <w:qFormat/>
    <w:uiPriority w:val="0"/>
    <w:pPr>
      <w:keepNext/>
      <w:keepLines/>
      <w:spacing w:before="120" w:after="120"/>
      <w:ind w:firstLine="200" w:firstLineChars="200"/>
      <w:jc w:val="center"/>
      <w:outlineLvl w:val="3"/>
    </w:pPr>
    <w:rPr>
      <w:rFonts w:ascii="Arial" w:hAnsi="Arial" w:eastAsia="黑体"/>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semiHidden/>
    <w:unhideWhenUsed/>
    <w:uiPriority w:val="99"/>
    <w:pPr>
      <w:spacing w:after="120" w:line="480" w:lineRule="auto"/>
      <w:ind w:left="420" w:leftChars="200"/>
    </w:pPr>
    <w:rPr>
      <w:kern w:val="0"/>
      <w:sz w:val="20"/>
      <w:szCs w:val="20"/>
    </w:rPr>
  </w:style>
  <w:style w:type="paragraph" w:styleId="5">
    <w:name w:val="Normal Indent"/>
    <w:basedOn w:val="1"/>
    <w:qFormat/>
    <w:uiPriority w:val="0"/>
    <w:pPr>
      <w:ind w:firstLine="420" w:firstLineChars="200"/>
    </w:pPr>
  </w:style>
  <w:style w:type="paragraph" w:styleId="8">
    <w:name w:val="Body Text"/>
    <w:basedOn w:val="1"/>
    <w:qFormat/>
    <w:uiPriority w:val="0"/>
    <w:rPr>
      <w:rFonts w:ascii="楷体_GB2312" w:hAnsi="Arial" w:eastAsia="楷体_GB2312"/>
      <w:sz w:val="28"/>
      <w:szCs w:val="28"/>
    </w:rPr>
  </w:style>
  <w:style w:type="paragraph" w:styleId="9">
    <w:name w:val="Body Text Indent"/>
    <w:basedOn w:val="1"/>
    <w:qFormat/>
    <w:uiPriority w:val="99"/>
    <w:pPr>
      <w:spacing w:after="120"/>
      <w:ind w:left="420" w:leftChars="200"/>
    </w:pPr>
  </w:style>
  <w:style w:type="paragraph" w:styleId="10">
    <w:name w:val="Block Text"/>
    <w:basedOn w:val="1"/>
    <w:qFormat/>
    <w:uiPriority w:val="0"/>
    <w:pPr>
      <w:adjustRightInd w:val="0"/>
      <w:ind w:left="420" w:right="33"/>
      <w:textAlignment w:val="baseline"/>
    </w:pPr>
    <w:rPr>
      <w:rFonts w:ascii="Times New Roman" w:hAnsi="Times New Roman" w:cs="Times New Roman"/>
      <w:szCs w:val="20"/>
    </w:rPr>
  </w:style>
  <w:style w:type="paragraph" w:styleId="11">
    <w:name w:val="footer"/>
    <w:basedOn w:val="1"/>
    <w:qFormat/>
    <w:uiPriority w:val="0"/>
    <w:pPr>
      <w:tabs>
        <w:tab w:val="center" w:pos="4153"/>
        <w:tab w:val="right" w:pos="8306"/>
      </w:tabs>
      <w:snapToGrid w:val="0"/>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13">
    <w:name w:val="Normal (Web)"/>
    <w:basedOn w:val="1"/>
    <w:unhideWhenUsed/>
    <w:qFormat/>
    <w:uiPriority w:val="0"/>
    <w:pPr>
      <w:spacing w:before="100" w:beforeAutospacing="1" w:after="100" w:afterAutospacing="1"/>
    </w:pPr>
  </w:style>
  <w:style w:type="character" w:styleId="16">
    <w:name w:val="page number"/>
    <w:basedOn w:val="15"/>
    <w:qFormat/>
    <w:uiPriority w:val="0"/>
  </w:style>
  <w:style w:type="character" w:customStyle="1" w:styleId="17">
    <w:name w:val="标题 1 字符"/>
    <w:link w:val="3"/>
    <w:qFormat/>
    <w:uiPriority w:val="0"/>
    <w:rPr>
      <w:rFonts w:ascii="Times New Roman" w:hAnsi="Times New Roman" w:eastAsia="宋体"/>
      <w:b/>
      <w:bCs/>
      <w:kern w:val="44"/>
      <w:sz w:val="44"/>
      <w:szCs w:val="44"/>
    </w:rPr>
  </w:style>
  <w:style w:type="character" w:customStyle="1" w:styleId="18">
    <w:name w:val="标题 2 字符"/>
    <w:link w:val="4"/>
    <w:qFormat/>
    <w:uiPriority w:val="0"/>
    <w:rPr>
      <w:rFonts w:ascii="Arial" w:hAnsi="Arial" w:eastAsia="宋体"/>
      <w:b/>
      <w:sz w:val="36"/>
      <w:lang w:val="en-US" w:eastAsia="zh-CN" w:bidi="ar-SA"/>
    </w:rPr>
  </w:style>
  <w:style w:type="character" w:customStyle="1" w:styleId="19">
    <w:name w:val="标题 3 字符"/>
    <w:link w:val="6"/>
    <w:qFormat/>
    <w:uiPriority w:val="0"/>
    <w:rPr>
      <w:rFonts w:ascii="Times New Roman" w:hAnsi="Times New Roman" w:eastAsia="宋体"/>
      <w:b/>
      <w:sz w:val="28"/>
    </w:rPr>
  </w:style>
  <w:style w:type="character" w:customStyle="1" w:styleId="20">
    <w:name w:val="标题 4 字符"/>
    <w:link w:val="7"/>
    <w:qFormat/>
    <w:uiPriority w:val="0"/>
    <w:rPr>
      <w:rFonts w:ascii="Arial" w:hAnsi="Arial" w:eastAsia="黑体"/>
      <w:sz w:val="24"/>
    </w:rPr>
  </w:style>
  <w:style w:type="paragraph" w:customStyle="1" w:styleId="21">
    <w:name w:val="BodyText"/>
    <w:basedOn w:val="1"/>
    <w:qFormat/>
    <w:uiPriority w:val="0"/>
    <w:pPr>
      <w:spacing w:line="380" w:lineRule="exact"/>
    </w:pPr>
  </w:style>
  <w:style w:type="paragraph" w:customStyle="1" w:styleId="22">
    <w:name w:val="正文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
    <w:name w:val="DAS正文"/>
    <w:qFormat/>
    <w:uiPriority w:val="0"/>
    <w:pPr>
      <w:widowControl w:val="0"/>
      <w:spacing w:line="360" w:lineRule="auto"/>
      <w:ind w:right="181" w:firstLine="480"/>
      <w:jc w:val="both"/>
    </w:pPr>
    <w:rPr>
      <w:rFonts w:ascii="Verdana" w:hAnsi="Verdana" w:eastAsia="宋体" w:cs="Times New Roman"/>
      <w:kern w:val="2"/>
      <w:sz w:val="21"/>
      <w:szCs w:val="24"/>
      <w:lang w:val="en-US" w:eastAsia="zh-CN" w:bidi="ar-SA"/>
    </w:rPr>
  </w:style>
  <w:style w:type="paragraph" w:customStyle="1" w:styleId="24">
    <w:name w:val="Body text|1"/>
    <w:basedOn w:val="1"/>
    <w:qFormat/>
    <w:uiPriority w:val="0"/>
    <w:pPr>
      <w:widowControl w:val="0"/>
      <w:spacing w:line="415" w:lineRule="auto"/>
      <w:ind w:firstLine="400"/>
    </w:pPr>
    <w:rPr>
      <w:rFonts w:hint="eastAsia" w:cs="Times New Roman"/>
      <w:color w:val="000000"/>
      <w:sz w:val="30"/>
      <w:szCs w:val="30"/>
    </w:rPr>
  </w:style>
  <w:style w:type="paragraph" w:customStyle="1" w:styleId="25">
    <w:name w:val="Body text|3"/>
    <w:basedOn w:val="1"/>
    <w:qFormat/>
    <w:uiPriority w:val="0"/>
    <w:pPr>
      <w:widowControl w:val="0"/>
      <w:ind w:left="260" w:hanging="260"/>
    </w:pPr>
    <w:rPr>
      <w:rFonts w:ascii="Times New Roman" w:hAnsi="Times New Roman" w:cs="Times New Roman"/>
      <w:color w:val="000000"/>
      <w:sz w:val="26"/>
      <w:szCs w:val="26"/>
    </w:rPr>
  </w:style>
  <w:style w:type="character" w:customStyle="1" w:styleId="26">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2511</Words>
  <Characters>14316</Characters>
  <Lines>119</Lines>
  <Paragraphs>33</Paragraphs>
  <TotalTime>2</TotalTime>
  <ScaleCrop>false</ScaleCrop>
  <LinksUpToDate>false</LinksUpToDate>
  <CharactersWithSpaces>16794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2021-03-10T01:58:00Z</dcterms:created>
  <dc:creator>夜</dc:creator>
  <cp:lastModifiedBy>王端军</cp:lastModifiedBy>
  <dcterms:modified xsi:type="dcterms:W3CDTF">2023-11-03T14:38:05Z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A33ABB6F35114EB8860DFB7B3115CD30_12</vt:lpwstr>
  </property>
</Properties>
</file>